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8AA4" w14:textId="77777777" w:rsidR="00F50DF1" w:rsidRPr="00C47DF5" w:rsidRDefault="00F50DF1" w:rsidP="00F50DF1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bookmarkStart w:id="0" w:name="_GoBack"/>
      <w:bookmarkEnd w:id="0"/>
    </w:p>
    <w:p w14:paraId="7327BB2C" w14:textId="77360D23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0DF1">
        <w:rPr>
          <w:rFonts w:ascii="Arial" w:hAnsi="Arial" w:cs="Arial"/>
          <w:b/>
          <w:bCs/>
          <w:color w:val="000000"/>
          <w:sz w:val="22"/>
          <w:szCs w:val="22"/>
        </w:rPr>
        <w:t>Grounds for Refusal for secure tenancies prior to 1</w:t>
      </w:r>
      <w:r w:rsidRPr="00F50DF1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st</w:t>
      </w:r>
      <w:r w:rsidRPr="00F50DF1">
        <w:rPr>
          <w:rFonts w:ascii="Arial" w:hAnsi="Arial" w:cs="Arial"/>
          <w:b/>
          <w:bCs/>
          <w:color w:val="000000"/>
          <w:sz w:val="22"/>
          <w:szCs w:val="22"/>
        </w:rPr>
        <w:t xml:space="preserve"> April 2012 </w:t>
      </w:r>
    </w:p>
    <w:p w14:paraId="56448217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3F96FB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b/>
          <w:bCs/>
          <w:color w:val="000000"/>
          <w:sz w:val="22"/>
          <w:szCs w:val="22"/>
        </w:rPr>
        <w:t>Ground 1</w:t>
      </w:r>
      <w:r w:rsidRPr="00F50DF1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2B8FE0DE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The tenant or proposed exchange partner has a possession order</w:t>
      </w:r>
    </w:p>
    <w:p w14:paraId="49B27BA4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 xml:space="preserve">outstanding against them, </w:t>
      </w:r>
      <w:proofErr w:type="gramStart"/>
      <w:r w:rsidRPr="00F50DF1">
        <w:rPr>
          <w:rFonts w:ascii="Arial" w:hAnsi="Arial" w:cs="Arial"/>
          <w:color w:val="000000"/>
          <w:sz w:val="22"/>
          <w:szCs w:val="22"/>
        </w:rPr>
        <w:t>whether or not</w:t>
      </w:r>
      <w:proofErr w:type="gramEnd"/>
      <w:r w:rsidRPr="00F50DF1">
        <w:rPr>
          <w:rFonts w:ascii="Arial" w:hAnsi="Arial" w:cs="Arial"/>
          <w:color w:val="000000"/>
          <w:sz w:val="22"/>
          <w:szCs w:val="22"/>
        </w:rPr>
        <w:t xml:space="preserve"> it has already come into</w:t>
      </w:r>
    </w:p>
    <w:p w14:paraId="5F3E17FF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force.</w:t>
      </w:r>
    </w:p>
    <w:p w14:paraId="6C2B6E2C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92E7456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b/>
          <w:bCs/>
          <w:color w:val="000000"/>
          <w:sz w:val="22"/>
          <w:szCs w:val="22"/>
        </w:rPr>
        <w:t>Ground 2</w:t>
      </w:r>
      <w:r w:rsidRPr="00F50DF1">
        <w:rPr>
          <w:rFonts w:ascii="Arial" w:hAnsi="Arial" w:cs="Arial"/>
          <w:color w:val="000000"/>
          <w:sz w:val="22"/>
          <w:szCs w:val="22"/>
        </w:rPr>
        <w:t>:</w:t>
      </w:r>
    </w:p>
    <w:p w14:paraId="6631E5E0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The tenant or proposed exchange partner has outstanding</w:t>
      </w:r>
    </w:p>
    <w:p w14:paraId="234CAC07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possession proceedings against them, or a notice of seeking</w:t>
      </w:r>
    </w:p>
    <w:p w14:paraId="4F70405D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possession is still in force. This only applies if one or more of</w:t>
      </w:r>
    </w:p>
    <w:p w14:paraId="206215FD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possession grounds 1 - 6 apply:</w:t>
      </w:r>
    </w:p>
    <w:p w14:paraId="6DF25B75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- breach of tenancy conditions or rent arrears,</w:t>
      </w:r>
    </w:p>
    <w:p w14:paraId="05AB7B76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- nuisance or annoyance to neighbours or immoral/illegal use of the</w:t>
      </w:r>
    </w:p>
    <w:p w14:paraId="1EAC1D55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 xml:space="preserve">  property,</w:t>
      </w:r>
    </w:p>
    <w:p w14:paraId="4BEE19F3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- damage to property,</w:t>
      </w:r>
    </w:p>
    <w:p w14:paraId="0866517A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- false application</w:t>
      </w:r>
    </w:p>
    <w:p w14:paraId="585072C3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- sale of previous exchange tenancy (or bribe)</w:t>
      </w:r>
    </w:p>
    <w:p w14:paraId="214F7A95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1E7482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b/>
          <w:bCs/>
          <w:color w:val="000000"/>
          <w:sz w:val="22"/>
          <w:szCs w:val="22"/>
        </w:rPr>
        <w:t>Ground 3</w:t>
      </w:r>
      <w:r w:rsidRPr="00F50DF1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868528E" w14:textId="3F0C92F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The incoming tenant would substantially under occupy the property.</w:t>
      </w:r>
    </w:p>
    <w:p w14:paraId="2533D553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08B97EC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b/>
          <w:bCs/>
          <w:color w:val="000000"/>
          <w:sz w:val="22"/>
          <w:szCs w:val="22"/>
        </w:rPr>
        <w:t>Ground 4</w:t>
      </w:r>
      <w:r w:rsidRPr="00F50DF1">
        <w:rPr>
          <w:rFonts w:ascii="Arial" w:hAnsi="Arial" w:cs="Arial"/>
          <w:color w:val="000000"/>
          <w:sz w:val="22"/>
          <w:szCs w:val="22"/>
        </w:rPr>
        <w:t>:</w:t>
      </w:r>
    </w:p>
    <w:p w14:paraId="165014DD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The extent of the accommodation is not reasonably suitable to the</w:t>
      </w:r>
    </w:p>
    <w:p w14:paraId="193D0F18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needs of the incoming tenant (this could be wider than statutory</w:t>
      </w:r>
    </w:p>
    <w:p w14:paraId="5678D705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overcrowding and could include such things as layout or storey level)</w:t>
      </w:r>
    </w:p>
    <w:p w14:paraId="74DDC9B5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B901E5C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b/>
          <w:bCs/>
          <w:color w:val="000000"/>
          <w:sz w:val="22"/>
          <w:szCs w:val="22"/>
        </w:rPr>
        <w:t>Ground 5</w:t>
      </w:r>
      <w:r w:rsidRPr="00F50DF1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2E9A821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The property is mainly non-housing, used for non-housing purposes, or is in a cemetery, and was previously tied accommodation while the tenant was employed by the landlord or another specifies body.</w:t>
      </w:r>
    </w:p>
    <w:p w14:paraId="38E3EBCE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ADA144E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b/>
          <w:bCs/>
          <w:color w:val="000000"/>
          <w:sz w:val="22"/>
          <w:szCs w:val="22"/>
        </w:rPr>
        <w:t>Ground 6</w:t>
      </w:r>
      <w:r w:rsidRPr="00F50DF1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B49BF57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The landlord is a charity and the incoming tenant’s occupation of the property would conflict with the objects of the charity (note that it is the</w:t>
      </w:r>
    </w:p>
    <w:p w14:paraId="173E3FA1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objects of the charity, not its allocations policy, which is material).</w:t>
      </w:r>
    </w:p>
    <w:p w14:paraId="4A1BC0DB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C26255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b/>
          <w:bCs/>
          <w:color w:val="000000"/>
          <w:sz w:val="22"/>
          <w:szCs w:val="22"/>
        </w:rPr>
        <w:t>Ground 7</w:t>
      </w:r>
      <w:r w:rsidRPr="00F50DF1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2D432960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The dwelling has substantially different features from ordinary</w:t>
      </w:r>
    </w:p>
    <w:p w14:paraId="04972132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dwellings, and is designed for the physically disabled, and if the</w:t>
      </w:r>
    </w:p>
    <w:p w14:paraId="34E11C0F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exchange occurred, there would not be anyone disabled living there.</w:t>
      </w:r>
    </w:p>
    <w:p w14:paraId="647BC209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CFAFF4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b/>
          <w:bCs/>
          <w:color w:val="000000"/>
          <w:sz w:val="22"/>
          <w:szCs w:val="22"/>
        </w:rPr>
        <w:t>Ground 8</w:t>
      </w:r>
      <w:r w:rsidRPr="00F50DF1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C9E2366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If an association or housing trust lets its houses only to those whose circumstances (other than financial) make it difficult for them to find</w:t>
      </w:r>
    </w:p>
    <w:p w14:paraId="29C0A7FE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accommodation, and if the exchange occurred, there would no longer</w:t>
      </w:r>
    </w:p>
    <w:p w14:paraId="5EF98DFE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be such a qualifying person living there.</w:t>
      </w:r>
    </w:p>
    <w:p w14:paraId="26C9377F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62BE09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b/>
          <w:bCs/>
          <w:color w:val="000000"/>
          <w:sz w:val="22"/>
          <w:szCs w:val="22"/>
        </w:rPr>
        <w:t>Ground 9</w:t>
      </w:r>
      <w:r w:rsidRPr="00F50DF1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72109E8" w14:textId="77777777" w:rsidR="00F50DF1" w:rsidRPr="00F50DF1" w:rsidRDefault="00F50DF1" w:rsidP="00F50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The house is one of a group, which it is the practice of the landlord to let to those with special needs, and a social service or special facility</w:t>
      </w:r>
    </w:p>
    <w:p w14:paraId="5C3D59E3" w14:textId="0985CA53" w:rsidR="00AD0FC1" w:rsidRPr="00F50DF1" w:rsidRDefault="00F50DF1" w:rsidP="00F50DF1">
      <w:pPr>
        <w:rPr>
          <w:sz w:val="22"/>
          <w:szCs w:val="22"/>
        </w:rPr>
      </w:pPr>
      <w:r w:rsidRPr="00F50DF1">
        <w:rPr>
          <w:rFonts w:ascii="Arial" w:hAnsi="Arial" w:cs="Arial"/>
          <w:color w:val="000000"/>
          <w:sz w:val="22"/>
          <w:szCs w:val="22"/>
        </w:rPr>
        <w:t>is provided for them (e.g. sheltered housing) and, after the exchange there would not be such a person living there.</w:t>
      </w:r>
    </w:p>
    <w:sectPr w:rsidR="00AD0FC1" w:rsidRPr="00F50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C1"/>
    <w:rsid w:val="0031005C"/>
    <w:rsid w:val="00AD0FC1"/>
    <w:rsid w:val="00F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78BD"/>
  <w15:chartTrackingRefBased/>
  <w15:docId w15:val="{521794B2-DBAD-4EA0-A5C7-716CFCAC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Carroll</dc:creator>
  <cp:keywords/>
  <dc:description/>
  <cp:lastModifiedBy>Susan Carroll</cp:lastModifiedBy>
  <cp:revision>2</cp:revision>
  <dcterms:created xsi:type="dcterms:W3CDTF">2019-11-13T11:41:00Z</dcterms:created>
  <dcterms:modified xsi:type="dcterms:W3CDTF">2019-11-13T11:41:00Z</dcterms:modified>
</cp:coreProperties>
</file>