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5D9F9" w14:textId="77777777" w:rsidR="00503540" w:rsidRDefault="00503540" w:rsidP="00503540">
      <w:pPr>
        <w:spacing w:after="0"/>
        <w:rPr>
          <w:rFonts w:ascii="Verdana" w:hAnsi="Verdana"/>
          <w:b/>
          <w:bCs/>
        </w:rPr>
      </w:pPr>
      <w:r w:rsidRPr="00B41B77">
        <w:rPr>
          <w:rFonts w:ascii="Verdana" w:hAnsi="Verdana"/>
          <w:noProof/>
        </w:rPr>
        <w:drawing>
          <wp:inline distT="0" distB="0" distL="0" distR="0" wp14:anchorId="4AACD93F" wp14:editId="64171289">
            <wp:extent cx="3343275" cy="3516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S logo (black) (A4 sizin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3499368" cy="368025"/>
                    </a:xfrm>
                    <a:prstGeom prst="rect">
                      <a:avLst/>
                    </a:prstGeom>
                    <a:noFill/>
                    <a:ln>
                      <a:noFill/>
                    </a:ln>
                  </pic:spPr>
                </pic:pic>
              </a:graphicData>
            </a:graphic>
          </wp:inline>
        </w:drawing>
      </w:r>
    </w:p>
    <w:p w14:paraId="0A57F748" w14:textId="77777777" w:rsidR="00503540" w:rsidRDefault="00503540" w:rsidP="00503540">
      <w:pPr>
        <w:spacing w:after="0"/>
        <w:jc w:val="center"/>
        <w:rPr>
          <w:rFonts w:ascii="Verdana" w:hAnsi="Verdana"/>
          <w:b/>
          <w:bCs/>
        </w:rPr>
      </w:pPr>
    </w:p>
    <w:p w14:paraId="47E9E850" w14:textId="2ED7DE20" w:rsidR="00503540" w:rsidRPr="00503540" w:rsidRDefault="00503540" w:rsidP="00503540">
      <w:pPr>
        <w:spacing w:after="0"/>
        <w:jc w:val="center"/>
        <w:rPr>
          <w:rFonts w:ascii="Verdana" w:hAnsi="Verdana"/>
          <w:b/>
          <w:bCs/>
        </w:rPr>
      </w:pPr>
      <w:r w:rsidRPr="00503540">
        <w:rPr>
          <w:rFonts w:ascii="Verdana" w:hAnsi="Verdana"/>
          <w:b/>
          <w:bCs/>
        </w:rPr>
        <w:t>Appeal Ref: APP/B1930/W/23/3333685</w:t>
      </w:r>
    </w:p>
    <w:p w14:paraId="20E6F967" w14:textId="4EFFD70D" w:rsidR="00CA72D1" w:rsidRPr="00503540" w:rsidRDefault="00CA72D1" w:rsidP="00503540">
      <w:pPr>
        <w:jc w:val="center"/>
        <w:rPr>
          <w:rFonts w:ascii="Verdana" w:hAnsi="Verdana"/>
          <w:b/>
          <w:bCs/>
        </w:rPr>
      </w:pPr>
      <w:r w:rsidRPr="00503540">
        <w:rPr>
          <w:rFonts w:ascii="Verdana" w:hAnsi="Verdana"/>
          <w:b/>
          <w:bCs/>
        </w:rPr>
        <w:t>Land to the rear of High Street, Colney Heath, St Albans</w:t>
      </w:r>
    </w:p>
    <w:p w14:paraId="62D3433F" w14:textId="2B4BD213" w:rsidR="00503540" w:rsidRDefault="004F3F6A" w:rsidP="004F3F6A">
      <w:pPr>
        <w:spacing w:after="0"/>
        <w:jc w:val="center"/>
        <w:rPr>
          <w:rFonts w:ascii="Verdana" w:hAnsi="Verdana"/>
          <w:b/>
          <w:bCs/>
        </w:rPr>
      </w:pPr>
      <w:r>
        <w:rPr>
          <w:rFonts w:ascii="Verdana" w:hAnsi="Verdana"/>
          <w:b/>
          <w:bCs/>
        </w:rPr>
        <w:t xml:space="preserve">Note of </w:t>
      </w:r>
      <w:r w:rsidR="00CA72D1" w:rsidRPr="00503540">
        <w:rPr>
          <w:rFonts w:ascii="Verdana" w:hAnsi="Verdana"/>
          <w:b/>
          <w:bCs/>
        </w:rPr>
        <w:t>C</w:t>
      </w:r>
      <w:r w:rsidR="00503540">
        <w:rPr>
          <w:rFonts w:ascii="Verdana" w:hAnsi="Verdana"/>
          <w:b/>
          <w:bCs/>
        </w:rPr>
        <w:t xml:space="preserve">ase </w:t>
      </w:r>
      <w:r w:rsidR="00CA72D1" w:rsidRPr="00503540">
        <w:rPr>
          <w:rFonts w:ascii="Verdana" w:hAnsi="Verdana"/>
          <w:b/>
          <w:bCs/>
        </w:rPr>
        <w:t>M</w:t>
      </w:r>
      <w:r w:rsidR="00503540">
        <w:rPr>
          <w:rFonts w:ascii="Verdana" w:hAnsi="Verdana"/>
          <w:b/>
          <w:bCs/>
        </w:rPr>
        <w:t xml:space="preserve">anagement </w:t>
      </w:r>
      <w:r w:rsidR="00CA72D1" w:rsidRPr="00503540">
        <w:rPr>
          <w:rFonts w:ascii="Verdana" w:hAnsi="Verdana"/>
          <w:b/>
          <w:bCs/>
        </w:rPr>
        <w:t>C</w:t>
      </w:r>
      <w:r w:rsidR="00503540">
        <w:rPr>
          <w:rFonts w:ascii="Verdana" w:hAnsi="Verdana"/>
          <w:b/>
          <w:bCs/>
        </w:rPr>
        <w:t>onference</w:t>
      </w:r>
    </w:p>
    <w:p w14:paraId="67DB5939" w14:textId="76783792" w:rsidR="004F3F6A" w:rsidRDefault="004F3F6A" w:rsidP="004F3F6A">
      <w:pPr>
        <w:spacing w:after="0"/>
        <w:jc w:val="center"/>
        <w:rPr>
          <w:rFonts w:ascii="Verdana" w:hAnsi="Verdana"/>
          <w:b/>
          <w:bCs/>
        </w:rPr>
      </w:pPr>
      <w:r>
        <w:rPr>
          <w:rFonts w:ascii="Verdana" w:hAnsi="Verdana"/>
          <w:b/>
          <w:bCs/>
        </w:rPr>
        <w:t>held on Teams at 10.00 on Monday 5 February 2024</w:t>
      </w:r>
    </w:p>
    <w:p w14:paraId="148BD2B6" w14:textId="77777777" w:rsidR="00503540" w:rsidRDefault="00503540" w:rsidP="00503540">
      <w:pPr>
        <w:spacing w:after="0"/>
        <w:rPr>
          <w:rFonts w:ascii="Verdana" w:hAnsi="Verdana"/>
          <w:b/>
          <w:bCs/>
        </w:rPr>
      </w:pPr>
    </w:p>
    <w:p w14:paraId="2608F1E8" w14:textId="4D3C2E1F" w:rsidR="009C20A9" w:rsidRDefault="00503540" w:rsidP="009C20A9">
      <w:pPr>
        <w:pStyle w:val="ListParagraph"/>
        <w:numPr>
          <w:ilvl w:val="0"/>
          <w:numId w:val="1"/>
        </w:numPr>
        <w:rPr>
          <w:rFonts w:ascii="Verdana" w:hAnsi="Verdana"/>
        </w:rPr>
      </w:pPr>
      <w:r>
        <w:rPr>
          <w:rFonts w:ascii="Verdana" w:hAnsi="Verdana"/>
        </w:rPr>
        <w:t xml:space="preserve">The case management conference </w:t>
      </w:r>
      <w:r w:rsidR="00C70A61">
        <w:rPr>
          <w:rFonts w:ascii="Verdana" w:hAnsi="Verdana"/>
        </w:rPr>
        <w:t xml:space="preserve">(CMC) </w:t>
      </w:r>
      <w:r>
        <w:rPr>
          <w:rFonts w:ascii="Verdana" w:hAnsi="Verdana"/>
        </w:rPr>
        <w:t xml:space="preserve">was </w:t>
      </w:r>
      <w:r w:rsidR="00B40E65">
        <w:rPr>
          <w:rFonts w:ascii="Verdana" w:hAnsi="Verdana"/>
        </w:rPr>
        <w:t>led</w:t>
      </w:r>
      <w:r>
        <w:rPr>
          <w:rFonts w:ascii="Verdana" w:hAnsi="Verdana"/>
        </w:rPr>
        <w:t xml:space="preserve"> by the Inquiry Inspector, Sheila Holden.</w:t>
      </w:r>
      <w:r w:rsidR="009C20A9">
        <w:rPr>
          <w:rFonts w:ascii="Verdana" w:hAnsi="Verdana"/>
        </w:rPr>
        <w:t xml:space="preserve"> </w:t>
      </w:r>
      <w:r w:rsidRPr="009C20A9">
        <w:rPr>
          <w:rFonts w:ascii="Verdana" w:hAnsi="Verdana"/>
        </w:rPr>
        <w:t xml:space="preserve">The Inquiry is to be held </w:t>
      </w:r>
      <w:r w:rsidR="004D30FE" w:rsidRPr="009C20A9">
        <w:rPr>
          <w:rFonts w:ascii="Verdana" w:hAnsi="Verdana"/>
        </w:rPr>
        <w:t xml:space="preserve">in the Council Chamber </w:t>
      </w:r>
      <w:r w:rsidRPr="009C20A9">
        <w:rPr>
          <w:rFonts w:ascii="Verdana" w:hAnsi="Verdana"/>
        </w:rPr>
        <w:t xml:space="preserve">at the Civic Centre, St Albans, </w:t>
      </w:r>
      <w:r w:rsidR="004D30FE" w:rsidRPr="009C20A9">
        <w:rPr>
          <w:rFonts w:ascii="Verdana" w:hAnsi="Verdana"/>
        </w:rPr>
        <w:t xml:space="preserve">AL1 3LD, opening at 10.00am on </w:t>
      </w:r>
      <w:r w:rsidRPr="009C20A9">
        <w:rPr>
          <w:rFonts w:ascii="Verdana" w:hAnsi="Verdana"/>
        </w:rPr>
        <w:t>Tuesday 23 April 2024.</w:t>
      </w:r>
      <w:r w:rsidR="00EB7E35" w:rsidRPr="009C20A9">
        <w:rPr>
          <w:rFonts w:ascii="Verdana" w:hAnsi="Verdana"/>
        </w:rPr>
        <w:t xml:space="preserve"> </w:t>
      </w:r>
    </w:p>
    <w:p w14:paraId="1336E565" w14:textId="77777777" w:rsidR="005D32DF" w:rsidRDefault="005D32DF" w:rsidP="005D32DF">
      <w:pPr>
        <w:pStyle w:val="ListParagraph"/>
        <w:ind w:left="360"/>
        <w:rPr>
          <w:rFonts w:ascii="Verdana" w:hAnsi="Verdana"/>
        </w:rPr>
      </w:pPr>
    </w:p>
    <w:p w14:paraId="7C4542EB" w14:textId="0C2236B7" w:rsidR="005D32DF" w:rsidRPr="009C20A9" w:rsidRDefault="005D32DF" w:rsidP="009C20A9">
      <w:pPr>
        <w:pStyle w:val="ListParagraph"/>
        <w:numPr>
          <w:ilvl w:val="0"/>
          <w:numId w:val="1"/>
        </w:numPr>
        <w:rPr>
          <w:rFonts w:ascii="Verdana" w:hAnsi="Verdana"/>
        </w:rPr>
      </w:pPr>
      <w:r>
        <w:rPr>
          <w:rFonts w:ascii="Verdana" w:hAnsi="Verdana"/>
        </w:rPr>
        <w:t>The purpose of the CMC</w:t>
      </w:r>
      <w:r w:rsidR="00F44ADE">
        <w:rPr>
          <w:rFonts w:ascii="Verdana" w:hAnsi="Verdana"/>
        </w:rPr>
        <w:t xml:space="preserve"> was to discuss the arrangements for the Inquiry</w:t>
      </w:r>
      <w:r w:rsidR="00D7399E">
        <w:rPr>
          <w:rFonts w:ascii="Verdana" w:hAnsi="Verdana"/>
        </w:rPr>
        <w:t xml:space="preserve">, including how evidence will be tested </w:t>
      </w:r>
      <w:r w:rsidR="000D566E">
        <w:rPr>
          <w:rFonts w:ascii="Verdana" w:hAnsi="Verdana"/>
        </w:rPr>
        <w:t xml:space="preserve">and provide directions on the preparation of documents and </w:t>
      </w:r>
      <w:r w:rsidR="00D7399E">
        <w:rPr>
          <w:rFonts w:ascii="Verdana" w:hAnsi="Verdana"/>
        </w:rPr>
        <w:t xml:space="preserve">the timescales </w:t>
      </w:r>
      <w:r w:rsidR="007A7CB4">
        <w:rPr>
          <w:rFonts w:ascii="Verdana" w:hAnsi="Verdana"/>
        </w:rPr>
        <w:t xml:space="preserve">for their submission. </w:t>
      </w:r>
      <w:r w:rsidR="00E7252E">
        <w:rPr>
          <w:rFonts w:ascii="Verdana" w:hAnsi="Verdana"/>
        </w:rPr>
        <w:t>An outline programme was also discussed.</w:t>
      </w:r>
    </w:p>
    <w:p w14:paraId="403510D2" w14:textId="77777777" w:rsidR="009C20A9" w:rsidRPr="009C20A9" w:rsidRDefault="009C20A9" w:rsidP="009C20A9">
      <w:pPr>
        <w:pStyle w:val="ListParagraph"/>
        <w:rPr>
          <w:rFonts w:ascii="Verdana" w:hAnsi="Verdana"/>
        </w:rPr>
      </w:pPr>
    </w:p>
    <w:p w14:paraId="6E952FE0" w14:textId="57B03726" w:rsidR="004D30FE" w:rsidRPr="00EB7E35" w:rsidRDefault="004D30FE" w:rsidP="00EB7E35">
      <w:pPr>
        <w:pStyle w:val="ListParagraph"/>
        <w:numPr>
          <w:ilvl w:val="0"/>
          <w:numId w:val="1"/>
        </w:numPr>
        <w:rPr>
          <w:rFonts w:ascii="Verdana" w:hAnsi="Verdana"/>
        </w:rPr>
      </w:pPr>
      <w:r w:rsidRPr="00EB7E35">
        <w:rPr>
          <w:rFonts w:ascii="Verdana" w:hAnsi="Verdana"/>
        </w:rPr>
        <w:t>It is intended that the Inquiry will sit in-person for the first four days to deal with the principle matters in dispute. Outstanding matters, conditions, obligations and closing submissions w</w:t>
      </w:r>
      <w:r w:rsidR="008E485F">
        <w:rPr>
          <w:rFonts w:ascii="Verdana" w:hAnsi="Verdana"/>
        </w:rPr>
        <w:t>ill</w:t>
      </w:r>
      <w:r w:rsidRPr="00EB7E35">
        <w:rPr>
          <w:rFonts w:ascii="Verdana" w:hAnsi="Verdana"/>
        </w:rPr>
        <w:t xml:space="preserve"> be continued virtually the following week (precise timings to be agreed nearer the time)</w:t>
      </w:r>
      <w:r w:rsidR="00873DE8" w:rsidRPr="00EB7E35">
        <w:rPr>
          <w:rFonts w:ascii="Verdana" w:hAnsi="Verdana"/>
        </w:rPr>
        <w:t>, unless it is considered essential to reconvene in-person</w:t>
      </w:r>
      <w:r w:rsidRPr="00EB7E35">
        <w:rPr>
          <w:rFonts w:ascii="Verdana" w:hAnsi="Verdana"/>
        </w:rPr>
        <w:t>.</w:t>
      </w:r>
    </w:p>
    <w:p w14:paraId="603A363E" w14:textId="77777777" w:rsidR="006F535D" w:rsidRPr="006F535D" w:rsidRDefault="006F535D" w:rsidP="006F535D">
      <w:pPr>
        <w:pStyle w:val="ListParagraph"/>
        <w:rPr>
          <w:rFonts w:ascii="Verdana" w:hAnsi="Verdana"/>
        </w:rPr>
      </w:pPr>
    </w:p>
    <w:p w14:paraId="68FA2A6B" w14:textId="74DECFC9" w:rsidR="006F535D" w:rsidRPr="006F535D" w:rsidRDefault="006F535D" w:rsidP="006F535D">
      <w:pPr>
        <w:pStyle w:val="ListParagraph"/>
        <w:ind w:left="360"/>
        <w:rPr>
          <w:rFonts w:ascii="Verdana" w:hAnsi="Verdana"/>
          <w:b/>
          <w:bCs/>
        </w:rPr>
      </w:pPr>
      <w:r w:rsidRPr="006F535D">
        <w:rPr>
          <w:rFonts w:ascii="Verdana" w:hAnsi="Verdana"/>
          <w:b/>
          <w:bCs/>
        </w:rPr>
        <w:t>Advocates and witnesses</w:t>
      </w:r>
    </w:p>
    <w:p w14:paraId="59825BEB" w14:textId="77777777" w:rsidR="00503540" w:rsidRDefault="00503540" w:rsidP="00503540">
      <w:pPr>
        <w:pStyle w:val="ListParagraph"/>
        <w:ind w:left="360"/>
        <w:rPr>
          <w:rFonts w:ascii="Verdana" w:hAnsi="Verdana"/>
        </w:rPr>
      </w:pPr>
    </w:p>
    <w:p w14:paraId="3F6D625C" w14:textId="3FC7778C" w:rsidR="003460DD" w:rsidRDefault="004D30FE" w:rsidP="003460DD">
      <w:pPr>
        <w:pStyle w:val="ListParagraph"/>
        <w:numPr>
          <w:ilvl w:val="0"/>
          <w:numId w:val="1"/>
        </w:numPr>
        <w:rPr>
          <w:rFonts w:ascii="Verdana" w:hAnsi="Verdana"/>
        </w:rPr>
      </w:pPr>
      <w:r w:rsidRPr="008D2BC7">
        <w:rPr>
          <w:rFonts w:ascii="Verdana" w:hAnsi="Verdana"/>
        </w:rPr>
        <w:t xml:space="preserve">The advocates </w:t>
      </w:r>
      <w:r w:rsidR="009E6978" w:rsidRPr="008D2BC7">
        <w:rPr>
          <w:rFonts w:ascii="Verdana" w:hAnsi="Verdana"/>
        </w:rPr>
        <w:t>(and spokespersons at th</w:t>
      </w:r>
      <w:r w:rsidR="00C70A61" w:rsidRPr="008D2BC7">
        <w:rPr>
          <w:rFonts w:ascii="Verdana" w:hAnsi="Verdana"/>
        </w:rPr>
        <w:t xml:space="preserve">is CMC) </w:t>
      </w:r>
      <w:r w:rsidRPr="008D2BC7">
        <w:rPr>
          <w:rFonts w:ascii="Verdana" w:hAnsi="Verdana"/>
        </w:rPr>
        <w:t xml:space="preserve">were confirmed as Zack Simons of Counsel, for the </w:t>
      </w:r>
      <w:r w:rsidR="0019529B" w:rsidRPr="008D2BC7">
        <w:rPr>
          <w:rFonts w:ascii="Verdana" w:hAnsi="Verdana"/>
        </w:rPr>
        <w:t>A</w:t>
      </w:r>
      <w:r w:rsidRPr="008D2BC7">
        <w:rPr>
          <w:rFonts w:ascii="Verdana" w:hAnsi="Verdana"/>
        </w:rPr>
        <w:t>ppellant</w:t>
      </w:r>
      <w:r w:rsidR="008B2696" w:rsidRPr="008D2BC7">
        <w:rPr>
          <w:rFonts w:ascii="Verdana" w:hAnsi="Verdana"/>
        </w:rPr>
        <w:t>,</w:t>
      </w:r>
      <w:r w:rsidRPr="008D2BC7">
        <w:rPr>
          <w:rFonts w:ascii="Verdana" w:hAnsi="Verdana"/>
        </w:rPr>
        <w:t xml:space="preserve"> and Andrew Parkinson, of Counsel, for the Council. Colney Heath Parish Council </w:t>
      </w:r>
      <w:r w:rsidR="003460DD" w:rsidRPr="008D2BC7">
        <w:rPr>
          <w:rFonts w:ascii="Verdana" w:hAnsi="Verdana"/>
        </w:rPr>
        <w:t xml:space="preserve">(CHPC) </w:t>
      </w:r>
      <w:r w:rsidRPr="008D2BC7">
        <w:rPr>
          <w:rFonts w:ascii="Verdana" w:hAnsi="Verdana"/>
        </w:rPr>
        <w:t>is a Rule 6 Party</w:t>
      </w:r>
      <w:r w:rsidR="006F535D" w:rsidRPr="008D2BC7">
        <w:rPr>
          <w:rFonts w:ascii="Verdana" w:hAnsi="Verdana"/>
        </w:rPr>
        <w:t xml:space="preserve"> (R6)</w:t>
      </w:r>
      <w:r w:rsidR="008D2BC7" w:rsidRPr="008D2BC7">
        <w:rPr>
          <w:rFonts w:ascii="Verdana" w:hAnsi="Verdana"/>
        </w:rPr>
        <w:t xml:space="preserve"> and was represented by Councillor John </w:t>
      </w:r>
      <w:proofErr w:type="spellStart"/>
      <w:r w:rsidR="008D2BC7" w:rsidRPr="008D2BC7">
        <w:rPr>
          <w:rFonts w:ascii="Verdana" w:hAnsi="Verdana"/>
        </w:rPr>
        <w:t>Clemow</w:t>
      </w:r>
      <w:proofErr w:type="spellEnd"/>
      <w:r w:rsidR="008D2BC7" w:rsidRPr="008D2BC7">
        <w:rPr>
          <w:rFonts w:ascii="Verdana" w:hAnsi="Verdana"/>
        </w:rPr>
        <w:t xml:space="preserve"> at the CMC. He advised that</w:t>
      </w:r>
      <w:r w:rsidRPr="008D2BC7">
        <w:rPr>
          <w:rFonts w:ascii="Verdana" w:hAnsi="Verdana"/>
        </w:rPr>
        <w:t xml:space="preserve"> Councillor Tony Burns will </w:t>
      </w:r>
      <w:r w:rsidR="003460DD" w:rsidRPr="008D2BC7">
        <w:rPr>
          <w:rFonts w:ascii="Verdana" w:hAnsi="Verdana"/>
        </w:rPr>
        <w:t>act as advocate</w:t>
      </w:r>
      <w:r w:rsidR="00546D45" w:rsidRPr="008D2BC7">
        <w:rPr>
          <w:rFonts w:ascii="Verdana" w:hAnsi="Verdana"/>
        </w:rPr>
        <w:t xml:space="preserve"> for CHPC</w:t>
      </w:r>
      <w:r w:rsidR="00567933" w:rsidRPr="008D2BC7">
        <w:rPr>
          <w:rFonts w:ascii="Verdana" w:hAnsi="Verdana"/>
        </w:rPr>
        <w:t>.</w:t>
      </w:r>
      <w:r w:rsidR="008B2696" w:rsidRPr="008D2BC7">
        <w:rPr>
          <w:rFonts w:ascii="Verdana" w:hAnsi="Verdana"/>
        </w:rPr>
        <w:t xml:space="preserve"> </w:t>
      </w:r>
    </w:p>
    <w:p w14:paraId="1DA69BFF" w14:textId="77777777" w:rsidR="008D2BC7" w:rsidRPr="008D2BC7" w:rsidRDefault="008D2BC7" w:rsidP="008D2BC7">
      <w:pPr>
        <w:pStyle w:val="ListParagraph"/>
        <w:ind w:left="360"/>
        <w:rPr>
          <w:rFonts w:ascii="Verdana" w:hAnsi="Verdana"/>
        </w:rPr>
      </w:pPr>
    </w:p>
    <w:p w14:paraId="0CB60F15" w14:textId="5F90D7DA" w:rsidR="003460DD" w:rsidRDefault="003460DD" w:rsidP="00503540">
      <w:pPr>
        <w:pStyle w:val="ListParagraph"/>
        <w:numPr>
          <w:ilvl w:val="0"/>
          <w:numId w:val="1"/>
        </w:numPr>
        <w:rPr>
          <w:rFonts w:ascii="Verdana" w:hAnsi="Verdana"/>
        </w:rPr>
      </w:pPr>
      <w:r>
        <w:rPr>
          <w:rFonts w:ascii="Verdana" w:hAnsi="Verdana"/>
        </w:rPr>
        <w:t xml:space="preserve">Witnesses for the appellant will be Steve </w:t>
      </w:r>
      <w:proofErr w:type="spellStart"/>
      <w:r>
        <w:rPr>
          <w:rFonts w:ascii="Verdana" w:hAnsi="Verdana"/>
        </w:rPr>
        <w:t>Kosky</w:t>
      </w:r>
      <w:proofErr w:type="spellEnd"/>
      <w:r>
        <w:rPr>
          <w:rFonts w:ascii="Verdana" w:hAnsi="Verdana"/>
        </w:rPr>
        <w:t xml:space="preserve"> on planning matters, Joanna Ede on Green Belt and landscape, Annie </w:t>
      </w:r>
      <w:proofErr w:type="spellStart"/>
      <w:r>
        <w:rPr>
          <w:rFonts w:ascii="Verdana" w:hAnsi="Verdana"/>
        </w:rPr>
        <w:t>Gingell</w:t>
      </w:r>
      <w:proofErr w:type="spellEnd"/>
      <w:r>
        <w:rPr>
          <w:rFonts w:ascii="Verdana" w:hAnsi="Verdana"/>
        </w:rPr>
        <w:t xml:space="preserve"> on affordable housing, Simon Tucker on transport and Andrew Josephs on heritage. Ben </w:t>
      </w:r>
      <w:proofErr w:type="spellStart"/>
      <w:r>
        <w:rPr>
          <w:rFonts w:ascii="Verdana" w:hAnsi="Verdana"/>
        </w:rPr>
        <w:t>Pycroft</w:t>
      </w:r>
      <w:proofErr w:type="spellEnd"/>
      <w:r>
        <w:rPr>
          <w:rFonts w:ascii="Verdana" w:hAnsi="Verdana"/>
        </w:rPr>
        <w:t xml:space="preserve"> will lead on 5-year housing land supply, which will be the subject of a technical note. Witnesses for the Council will be Philip Hughes on planning matters and Green Belt, John Paul Friend on landscape and Nick Collins on heritage. Councillor John </w:t>
      </w:r>
      <w:proofErr w:type="spellStart"/>
      <w:r>
        <w:rPr>
          <w:rFonts w:ascii="Verdana" w:hAnsi="Verdana"/>
        </w:rPr>
        <w:t>Clemow</w:t>
      </w:r>
      <w:proofErr w:type="spellEnd"/>
      <w:r>
        <w:rPr>
          <w:rFonts w:ascii="Verdana" w:hAnsi="Verdana"/>
        </w:rPr>
        <w:t xml:space="preserve"> (vice chair of the CHPC) will act as the witness on all matters for the Parish Council.</w:t>
      </w:r>
    </w:p>
    <w:p w14:paraId="55B80BFF" w14:textId="77777777" w:rsidR="00C7694F" w:rsidRPr="00C7694F" w:rsidRDefault="00C7694F" w:rsidP="00C7694F">
      <w:pPr>
        <w:pStyle w:val="ListParagraph"/>
        <w:rPr>
          <w:rFonts w:ascii="Verdana" w:hAnsi="Verdana"/>
        </w:rPr>
      </w:pPr>
    </w:p>
    <w:p w14:paraId="2F8D2B04" w14:textId="44FD4AC0" w:rsidR="00C7694F" w:rsidRPr="00C7694F" w:rsidRDefault="00C7694F" w:rsidP="00C7694F">
      <w:pPr>
        <w:pStyle w:val="ListParagraph"/>
        <w:ind w:left="360"/>
        <w:rPr>
          <w:rFonts w:ascii="Verdana" w:hAnsi="Verdana"/>
          <w:b/>
          <w:bCs/>
        </w:rPr>
      </w:pPr>
      <w:r w:rsidRPr="00C7694F">
        <w:rPr>
          <w:rFonts w:ascii="Verdana" w:hAnsi="Verdana"/>
          <w:b/>
          <w:bCs/>
        </w:rPr>
        <w:t>Venue</w:t>
      </w:r>
    </w:p>
    <w:p w14:paraId="514CF590" w14:textId="77777777" w:rsidR="003460DD" w:rsidRPr="003460DD" w:rsidRDefault="003460DD" w:rsidP="003460DD">
      <w:pPr>
        <w:pStyle w:val="ListParagraph"/>
        <w:rPr>
          <w:rFonts w:ascii="Verdana" w:hAnsi="Verdana"/>
        </w:rPr>
      </w:pPr>
    </w:p>
    <w:p w14:paraId="3BF8C290" w14:textId="781D9D8C" w:rsidR="003460DD" w:rsidRDefault="003460DD" w:rsidP="00B81178">
      <w:pPr>
        <w:pStyle w:val="ListParagraph"/>
        <w:numPr>
          <w:ilvl w:val="0"/>
          <w:numId w:val="1"/>
        </w:numPr>
        <w:rPr>
          <w:rFonts w:ascii="Verdana" w:hAnsi="Verdana"/>
        </w:rPr>
      </w:pPr>
      <w:r>
        <w:rPr>
          <w:rFonts w:ascii="Verdana" w:hAnsi="Verdana"/>
        </w:rPr>
        <w:t xml:space="preserve">It was confirmed that the Council Chamber has been booked for the week of the </w:t>
      </w:r>
      <w:r w:rsidR="00E43D2E">
        <w:rPr>
          <w:rFonts w:ascii="Verdana" w:hAnsi="Verdana"/>
        </w:rPr>
        <w:t>23 April</w:t>
      </w:r>
      <w:r w:rsidRPr="00B81178">
        <w:rPr>
          <w:rFonts w:ascii="Verdana" w:hAnsi="Verdana"/>
        </w:rPr>
        <w:t xml:space="preserve"> and </w:t>
      </w:r>
      <w:r w:rsidR="00E43D2E">
        <w:rPr>
          <w:rFonts w:ascii="Verdana" w:hAnsi="Verdana"/>
        </w:rPr>
        <w:t xml:space="preserve">that it </w:t>
      </w:r>
      <w:r w:rsidRPr="00B81178">
        <w:rPr>
          <w:rFonts w:ascii="Verdana" w:hAnsi="Verdana"/>
        </w:rPr>
        <w:t>is of a suitable size to accommodate the</w:t>
      </w:r>
      <w:r w:rsidR="001B00CD">
        <w:rPr>
          <w:rFonts w:ascii="Verdana" w:hAnsi="Verdana"/>
        </w:rPr>
        <w:t xml:space="preserve"> potential</w:t>
      </w:r>
      <w:r w:rsidRPr="00B81178">
        <w:rPr>
          <w:rFonts w:ascii="Verdana" w:hAnsi="Verdana"/>
        </w:rPr>
        <w:t xml:space="preserve"> number of attendees. </w:t>
      </w:r>
      <w:r w:rsidR="00D7707E" w:rsidRPr="00B81178">
        <w:rPr>
          <w:rFonts w:ascii="Verdana" w:hAnsi="Verdana"/>
        </w:rPr>
        <w:t xml:space="preserve">It was suggested that there are likely to be of the order of 25-30 interested persons who </w:t>
      </w:r>
      <w:r w:rsidR="00C00761" w:rsidRPr="00B81178">
        <w:rPr>
          <w:rFonts w:ascii="Verdana" w:hAnsi="Verdana"/>
        </w:rPr>
        <w:t>would attend. The Council Chamber</w:t>
      </w:r>
      <w:r w:rsidRPr="00B81178">
        <w:rPr>
          <w:rFonts w:ascii="Verdana" w:hAnsi="Verdana"/>
        </w:rPr>
        <w:t xml:space="preserve"> is served by adequate microphones to ensure that everyone will be able to hear proceedings. </w:t>
      </w:r>
      <w:r w:rsidR="009A0D70" w:rsidRPr="00B81178">
        <w:rPr>
          <w:rFonts w:ascii="Verdana" w:hAnsi="Verdana"/>
        </w:rPr>
        <w:t>The available technology</w:t>
      </w:r>
      <w:r w:rsidRPr="00B81178">
        <w:rPr>
          <w:rFonts w:ascii="Verdana" w:hAnsi="Verdana"/>
        </w:rPr>
        <w:t xml:space="preserve"> will enable</w:t>
      </w:r>
      <w:r w:rsidR="00C00761" w:rsidRPr="00B81178">
        <w:rPr>
          <w:rFonts w:ascii="Verdana" w:hAnsi="Verdana"/>
        </w:rPr>
        <w:t xml:space="preserve"> the event to be</w:t>
      </w:r>
      <w:r w:rsidRPr="00B81178">
        <w:rPr>
          <w:rFonts w:ascii="Verdana" w:hAnsi="Verdana"/>
        </w:rPr>
        <w:t xml:space="preserve"> live </w:t>
      </w:r>
      <w:r w:rsidRPr="00B81178">
        <w:rPr>
          <w:rFonts w:ascii="Verdana" w:hAnsi="Verdana"/>
        </w:rPr>
        <w:lastRenderedPageBreak/>
        <w:t>stream</w:t>
      </w:r>
      <w:r w:rsidR="00C00761" w:rsidRPr="00B81178">
        <w:rPr>
          <w:rFonts w:ascii="Verdana" w:hAnsi="Verdana"/>
        </w:rPr>
        <w:t>ed</w:t>
      </w:r>
      <w:r w:rsidRPr="00B81178">
        <w:rPr>
          <w:rFonts w:ascii="Verdana" w:hAnsi="Verdana"/>
        </w:rPr>
        <w:t>. It was also confirmed that it would be possible for members of the public to contribute virtually, subject to this being at an agreed slot within the timetable.</w:t>
      </w:r>
      <w:r w:rsidR="006F535D" w:rsidRPr="00B81178">
        <w:rPr>
          <w:rFonts w:ascii="Verdana" w:hAnsi="Verdana"/>
        </w:rPr>
        <w:t xml:space="preserve"> The PINS case officer will liaise with his contact at the Council to ensure that the appropriate arrangements are in place.</w:t>
      </w:r>
    </w:p>
    <w:p w14:paraId="15C5BFA9" w14:textId="77777777" w:rsidR="003F0ABD" w:rsidRDefault="003F0ABD" w:rsidP="003F0ABD">
      <w:pPr>
        <w:pStyle w:val="ListParagraph"/>
        <w:ind w:left="360"/>
        <w:rPr>
          <w:rFonts w:ascii="Verdana" w:hAnsi="Verdana"/>
        </w:rPr>
      </w:pPr>
    </w:p>
    <w:p w14:paraId="21DBE4E3" w14:textId="6D08A932" w:rsidR="00FE0331" w:rsidRPr="00147ECB" w:rsidRDefault="00147ECB" w:rsidP="00147ECB">
      <w:pPr>
        <w:pStyle w:val="ListParagraph"/>
        <w:ind w:left="360"/>
        <w:rPr>
          <w:rFonts w:ascii="Verdana" w:hAnsi="Verdana"/>
          <w:b/>
          <w:bCs/>
        </w:rPr>
      </w:pPr>
      <w:r w:rsidRPr="00147ECB">
        <w:rPr>
          <w:rFonts w:ascii="Verdana" w:hAnsi="Verdana"/>
          <w:b/>
          <w:bCs/>
        </w:rPr>
        <w:t>Main Issues</w:t>
      </w:r>
    </w:p>
    <w:p w14:paraId="0580151C" w14:textId="77777777" w:rsidR="00147ECB" w:rsidRPr="00147ECB" w:rsidRDefault="00147ECB" w:rsidP="00147ECB">
      <w:pPr>
        <w:pStyle w:val="ListParagraph"/>
        <w:rPr>
          <w:rFonts w:ascii="Verdana" w:hAnsi="Verdana"/>
        </w:rPr>
      </w:pPr>
    </w:p>
    <w:p w14:paraId="3233B3D3" w14:textId="4BF37214" w:rsidR="00147ECB" w:rsidRDefault="00147ECB" w:rsidP="00147ECB">
      <w:pPr>
        <w:pStyle w:val="ListParagraph"/>
        <w:numPr>
          <w:ilvl w:val="0"/>
          <w:numId w:val="1"/>
        </w:numPr>
        <w:rPr>
          <w:rFonts w:ascii="Verdana" w:hAnsi="Verdana"/>
        </w:rPr>
      </w:pPr>
      <w:r>
        <w:rPr>
          <w:rFonts w:ascii="Verdana" w:hAnsi="Verdana"/>
        </w:rPr>
        <w:t>Based on the material submitted to date, the</w:t>
      </w:r>
      <w:r w:rsidR="00322B7B">
        <w:rPr>
          <w:rFonts w:ascii="Verdana" w:hAnsi="Verdana"/>
        </w:rPr>
        <w:t xml:space="preserve"> Inspector considers the</w:t>
      </w:r>
      <w:r>
        <w:rPr>
          <w:rFonts w:ascii="Verdana" w:hAnsi="Verdana"/>
        </w:rPr>
        <w:t xml:space="preserve"> main issues to be:</w:t>
      </w:r>
    </w:p>
    <w:p w14:paraId="7B1C2E49" w14:textId="77777777" w:rsidR="00322B7B" w:rsidRDefault="00322B7B" w:rsidP="00322B7B">
      <w:pPr>
        <w:pStyle w:val="ListParagraph"/>
        <w:ind w:left="360"/>
        <w:rPr>
          <w:rFonts w:ascii="Verdana" w:hAnsi="Verdana"/>
        </w:rPr>
      </w:pPr>
    </w:p>
    <w:p w14:paraId="048661E6" w14:textId="77777777" w:rsidR="00147ECB" w:rsidRDefault="00147ECB" w:rsidP="00147ECB">
      <w:pPr>
        <w:pStyle w:val="ListParagraph"/>
        <w:numPr>
          <w:ilvl w:val="1"/>
          <w:numId w:val="1"/>
        </w:numPr>
        <w:rPr>
          <w:rFonts w:ascii="Verdana" w:hAnsi="Verdana"/>
        </w:rPr>
      </w:pPr>
      <w:r>
        <w:rPr>
          <w:rFonts w:ascii="Verdana" w:hAnsi="Verdana"/>
        </w:rPr>
        <w:t xml:space="preserve">The effect of the proposal on: </w:t>
      </w:r>
    </w:p>
    <w:p w14:paraId="32666988" w14:textId="77777777" w:rsidR="00147ECB" w:rsidRDefault="00147ECB" w:rsidP="00147ECB">
      <w:pPr>
        <w:pStyle w:val="ListParagraph"/>
        <w:numPr>
          <w:ilvl w:val="2"/>
          <w:numId w:val="1"/>
        </w:numPr>
        <w:rPr>
          <w:rFonts w:ascii="Verdana" w:hAnsi="Verdana"/>
        </w:rPr>
      </w:pPr>
      <w:r>
        <w:rPr>
          <w:rFonts w:ascii="Verdana" w:hAnsi="Verdana"/>
        </w:rPr>
        <w:t>The openness and purposes of the Green Belt;</w:t>
      </w:r>
    </w:p>
    <w:p w14:paraId="1DEB49FE" w14:textId="77777777" w:rsidR="00147ECB" w:rsidRDefault="00147ECB" w:rsidP="00147ECB">
      <w:pPr>
        <w:pStyle w:val="ListParagraph"/>
        <w:numPr>
          <w:ilvl w:val="2"/>
          <w:numId w:val="1"/>
        </w:numPr>
        <w:rPr>
          <w:rFonts w:ascii="Verdana" w:hAnsi="Verdana"/>
        </w:rPr>
      </w:pPr>
      <w:r>
        <w:rPr>
          <w:rFonts w:ascii="Verdana" w:hAnsi="Verdana"/>
        </w:rPr>
        <w:t xml:space="preserve">The </w:t>
      </w:r>
      <w:r w:rsidRPr="001A7B20">
        <w:rPr>
          <w:rFonts w:ascii="Verdana" w:hAnsi="Verdana"/>
        </w:rPr>
        <w:t>landscape character and appearance of the area;</w:t>
      </w:r>
    </w:p>
    <w:p w14:paraId="668268F7" w14:textId="77777777" w:rsidR="00147ECB" w:rsidRDefault="00147ECB" w:rsidP="00147ECB">
      <w:pPr>
        <w:pStyle w:val="ListParagraph"/>
        <w:numPr>
          <w:ilvl w:val="2"/>
          <w:numId w:val="1"/>
        </w:numPr>
        <w:rPr>
          <w:rFonts w:ascii="Verdana" w:hAnsi="Verdana"/>
        </w:rPr>
      </w:pPr>
      <w:r>
        <w:rPr>
          <w:rFonts w:ascii="Verdana" w:hAnsi="Verdana"/>
        </w:rPr>
        <w:t>The setting of nearby Grade II listed buildings, namely Apsley Cottage, Crooked Billet Public House and 94 High Street;</w:t>
      </w:r>
    </w:p>
    <w:p w14:paraId="3401C7D0" w14:textId="77777777" w:rsidR="00147ECB" w:rsidRDefault="00147ECB" w:rsidP="00147ECB">
      <w:pPr>
        <w:pStyle w:val="ListParagraph"/>
        <w:ind w:left="1800"/>
        <w:rPr>
          <w:rFonts w:ascii="Verdana" w:hAnsi="Verdana"/>
        </w:rPr>
      </w:pPr>
    </w:p>
    <w:p w14:paraId="435B489C" w14:textId="77777777" w:rsidR="00147ECB" w:rsidRDefault="00147ECB" w:rsidP="00147ECB">
      <w:pPr>
        <w:pStyle w:val="ListParagraph"/>
        <w:numPr>
          <w:ilvl w:val="1"/>
          <w:numId w:val="1"/>
        </w:numPr>
        <w:rPr>
          <w:rFonts w:ascii="Verdana" w:hAnsi="Verdana"/>
        </w:rPr>
      </w:pPr>
      <w:r>
        <w:rPr>
          <w:rFonts w:ascii="Verdana" w:hAnsi="Verdana"/>
        </w:rPr>
        <w:t>Whether the site is a suitable location for a residential development having regard to the Council’s spatial strategy and its accessibility to services and facilities;</w:t>
      </w:r>
    </w:p>
    <w:p w14:paraId="1FFD5E8B" w14:textId="77777777" w:rsidR="00147ECB" w:rsidRDefault="00147ECB" w:rsidP="00147ECB">
      <w:pPr>
        <w:pStyle w:val="ListParagraph"/>
        <w:ind w:left="1080"/>
        <w:rPr>
          <w:rFonts w:ascii="Verdana" w:hAnsi="Verdana"/>
        </w:rPr>
      </w:pPr>
    </w:p>
    <w:p w14:paraId="5620B41D" w14:textId="77777777" w:rsidR="00147ECB" w:rsidRDefault="00147ECB" w:rsidP="00147ECB">
      <w:pPr>
        <w:pStyle w:val="ListParagraph"/>
        <w:numPr>
          <w:ilvl w:val="1"/>
          <w:numId w:val="1"/>
        </w:numPr>
        <w:rPr>
          <w:rFonts w:ascii="Verdana" w:hAnsi="Verdana"/>
        </w:rPr>
      </w:pPr>
      <w:r>
        <w:rPr>
          <w:rFonts w:ascii="Verdana" w:hAnsi="Verdana"/>
        </w:rPr>
        <w:t>Whether the harm by reason of inappropriateness, and any other harm, is clearly outweighed by other considerations, including the provision of housing and other public benefits associated with the development, so as to amount to the very special circumstances necessary to justify the proposed development.</w:t>
      </w:r>
    </w:p>
    <w:p w14:paraId="3FAAB086" w14:textId="77777777" w:rsidR="00147ECB" w:rsidRPr="001A7B20" w:rsidRDefault="00147ECB" w:rsidP="00147ECB">
      <w:pPr>
        <w:pStyle w:val="ListParagraph"/>
        <w:rPr>
          <w:rFonts w:ascii="Verdana" w:hAnsi="Verdana"/>
        </w:rPr>
      </w:pPr>
    </w:p>
    <w:p w14:paraId="1242E56A" w14:textId="34F02C79" w:rsidR="00147ECB" w:rsidRDefault="00147ECB" w:rsidP="00147ECB">
      <w:pPr>
        <w:pStyle w:val="ListParagraph"/>
        <w:numPr>
          <w:ilvl w:val="0"/>
          <w:numId w:val="1"/>
        </w:numPr>
        <w:rPr>
          <w:rFonts w:ascii="Verdana" w:hAnsi="Verdana"/>
        </w:rPr>
      </w:pPr>
      <w:r>
        <w:rPr>
          <w:rFonts w:ascii="Verdana" w:hAnsi="Verdana"/>
        </w:rPr>
        <w:t xml:space="preserve">In setting out the main issues, the Inspector is aware that there are other matters, such as </w:t>
      </w:r>
      <w:r w:rsidR="001E5C26">
        <w:rPr>
          <w:rFonts w:ascii="Verdana" w:hAnsi="Verdana"/>
        </w:rPr>
        <w:t xml:space="preserve">the site’s accessibility </w:t>
      </w:r>
      <w:r w:rsidR="00DA65CE">
        <w:rPr>
          <w:rFonts w:ascii="Verdana" w:hAnsi="Verdana"/>
        </w:rPr>
        <w:t xml:space="preserve">by sustainable modes of transport, </w:t>
      </w:r>
      <w:r>
        <w:rPr>
          <w:rFonts w:ascii="Verdana" w:hAnsi="Verdana"/>
        </w:rPr>
        <w:t>highway and pedestrian safety</w:t>
      </w:r>
      <w:r w:rsidR="0075655A">
        <w:rPr>
          <w:rFonts w:ascii="Verdana" w:hAnsi="Verdana"/>
        </w:rPr>
        <w:t>,</w:t>
      </w:r>
      <w:r>
        <w:rPr>
          <w:rFonts w:ascii="Verdana" w:hAnsi="Verdana"/>
        </w:rPr>
        <w:t xml:space="preserve"> and parkin</w:t>
      </w:r>
      <w:r w:rsidR="007D1637">
        <w:rPr>
          <w:rFonts w:ascii="Verdana" w:hAnsi="Verdana"/>
        </w:rPr>
        <w:t>g</w:t>
      </w:r>
      <w:r>
        <w:rPr>
          <w:rFonts w:ascii="Verdana" w:hAnsi="Verdana"/>
        </w:rPr>
        <w:t xml:space="preserve">, which </w:t>
      </w:r>
      <w:r w:rsidR="00DA65CE">
        <w:rPr>
          <w:rFonts w:ascii="Verdana" w:hAnsi="Verdana"/>
        </w:rPr>
        <w:t>have been</w:t>
      </w:r>
      <w:r>
        <w:rPr>
          <w:rFonts w:ascii="Verdana" w:hAnsi="Verdana"/>
        </w:rPr>
        <w:t xml:space="preserve"> raised by interested parties and will be discussed at the Inquiry. However, these are not issues </w:t>
      </w:r>
      <w:r w:rsidR="0075655A">
        <w:rPr>
          <w:rFonts w:ascii="Verdana" w:hAnsi="Verdana"/>
        </w:rPr>
        <w:t>of</w:t>
      </w:r>
      <w:r>
        <w:rPr>
          <w:rFonts w:ascii="Verdana" w:hAnsi="Verdana"/>
        </w:rPr>
        <w:t xml:space="preserve"> dispute between the main parties. </w:t>
      </w:r>
    </w:p>
    <w:p w14:paraId="3F2BC902" w14:textId="77777777" w:rsidR="00B81178" w:rsidRDefault="00B81178" w:rsidP="006F535D">
      <w:pPr>
        <w:pStyle w:val="ListParagraph"/>
        <w:ind w:left="360"/>
        <w:rPr>
          <w:rFonts w:ascii="Verdana" w:hAnsi="Verdana"/>
          <w:b/>
          <w:bCs/>
        </w:rPr>
      </w:pPr>
    </w:p>
    <w:p w14:paraId="12C6EA56" w14:textId="55863CE3" w:rsidR="006F535D" w:rsidRPr="006F535D" w:rsidRDefault="006F535D" w:rsidP="006F535D">
      <w:pPr>
        <w:pStyle w:val="ListParagraph"/>
        <w:ind w:left="360"/>
        <w:rPr>
          <w:rFonts w:ascii="Verdana" w:hAnsi="Verdana"/>
          <w:b/>
          <w:bCs/>
        </w:rPr>
      </w:pPr>
      <w:r w:rsidRPr="006F535D">
        <w:rPr>
          <w:rFonts w:ascii="Verdana" w:hAnsi="Verdana"/>
          <w:b/>
          <w:bCs/>
        </w:rPr>
        <w:t>Dealing with the evidence</w:t>
      </w:r>
    </w:p>
    <w:p w14:paraId="67A6D330" w14:textId="77777777" w:rsidR="003E2767" w:rsidRPr="003E2767" w:rsidRDefault="003E2767" w:rsidP="003E2767">
      <w:pPr>
        <w:pStyle w:val="ListParagraph"/>
        <w:rPr>
          <w:rFonts w:ascii="Verdana" w:hAnsi="Verdana"/>
        </w:rPr>
      </w:pPr>
    </w:p>
    <w:p w14:paraId="31225A73" w14:textId="63453733" w:rsidR="003E2767" w:rsidRDefault="003E2767" w:rsidP="00503540">
      <w:pPr>
        <w:pStyle w:val="ListParagraph"/>
        <w:numPr>
          <w:ilvl w:val="0"/>
          <w:numId w:val="1"/>
        </w:numPr>
        <w:rPr>
          <w:rFonts w:ascii="Verdana" w:hAnsi="Verdana"/>
        </w:rPr>
      </w:pPr>
      <w:r>
        <w:rPr>
          <w:rFonts w:ascii="Verdana" w:hAnsi="Verdana"/>
        </w:rPr>
        <w:t xml:space="preserve">The main parties </w:t>
      </w:r>
      <w:r w:rsidR="006B19DC">
        <w:rPr>
          <w:rFonts w:ascii="Verdana" w:hAnsi="Verdana"/>
        </w:rPr>
        <w:t xml:space="preserve">confirmed </w:t>
      </w:r>
      <w:r>
        <w:rPr>
          <w:rFonts w:ascii="Verdana" w:hAnsi="Verdana"/>
        </w:rPr>
        <w:t>that it is common ground that the proposal would represent inappropriate development in the Green Belt. The topics for discussion at the inquiry</w:t>
      </w:r>
      <w:r w:rsidR="009D310D">
        <w:rPr>
          <w:rFonts w:ascii="Verdana" w:hAnsi="Verdana"/>
        </w:rPr>
        <w:t xml:space="preserve"> </w:t>
      </w:r>
      <w:r>
        <w:rPr>
          <w:rFonts w:ascii="Verdana" w:hAnsi="Verdana"/>
        </w:rPr>
        <w:t>are therefore:</w:t>
      </w:r>
    </w:p>
    <w:p w14:paraId="5754DFFB" w14:textId="77777777" w:rsidR="003E2767" w:rsidRPr="003E2767" w:rsidRDefault="003E2767" w:rsidP="003E2767">
      <w:pPr>
        <w:pStyle w:val="ListParagraph"/>
        <w:rPr>
          <w:rFonts w:ascii="Verdana" w:hAnsi="Verdana"/>
        </w:rPr>
      </w:pPr>
    </w:p>
    <w:p w14:paraId="00AF1212" w14:textId="687C7DCC" w:rsidR="003E2767" w:rsidRDefault="003E2767" w:rsidP="003E2767">
      <w:pPr>
        <w:pStyle w:val="ListParagraph"/>
        <w:numPr>
          <w:ilvl w:val="0"/>
          <w:numId w:val="2"/>
        </w:numPr>
        <w:rPr>
          <w:rFonts w:ascii="Verdana" w:hAnsi="Verdana"/>
        </w:rPr>
      </w:pPr>
      <w:r>
        <w:rPr>
          <w:rFonts w:ascii="Verdana" w:hAnsi="Verdana"/>
        </w:rPr>
        <w:t>Green Belt – openness and purposes</w:t>
      </w:r>
    </w:p>
    <w:p w14:paraId="261BCF26" w14:textId="49E172BE" w:rsidR="003E2767" w:rsidRDefault="003E2767" w:rsidP="003E2767">
      <w:pPr>
        <w:pStyle w:val="ListParagraph"/>
        <w:numPr>
          <w:ilvl w:val="0"/>
          <w:numId w:val="2"/>
        </w:numPr>
        <w:rPr>
          <w:rFonts w:ascii="Verdana" w:hAnsi="Verdana"/>
        </w:rPr>
      </w:pPr>
      <w:r>
        <w:rPr>
          <w:rFonts w:ascii="Verdana" w:hAnsi="Verdana"/>
        </w:rPr>
        <w:t>Landscape character and appearance</w:t>
      </w:r>
    </w:p>
    <w:p w14:paraId="1BC5C4C1" w14:textId="5389763E" w:rsidR="003E2767" w:rsidRDefault="003E2767" w:rsidP="003E2767">
      <w:pPr>
        <w:pStyle w:val="ListParagraph"/>
        <w:numPr>
          <w:ilvl w:val="0"/>
          <w:numId w:val="2"/>
        </w:numPr>
        <w:rPr>
          <w:rFonts w:ascii="Verdana" w:hAnsi="Verdana"/>
        </w:rPr>
      </w:pPr>
      <w:r>
        <w:rPr>
          <w:rFonts w:ascii="Verdana" w:hAnsi="Verdana"/>
        </w:rPr>
        <w:t>Heritage matters</w:t>
      </w:r>
    </w:p>
    <w:p w14:paraId="5A66A5FD" w14:textId="5B6609FF" w:rsidR="003E2767" w:rsidRDefault="003E2767" w:rsidP="003E2767">
      <w:pPr>
        <w:pStyle w:val="ListParagraph"/>
        <w:numPr>
          <w:ilvl w:val="0"/>
          <w:numId w:val="2"/>
        </w:numPr>
        <w:rPr>
          <w:rFonts w:ascii="Verdana" w:hAnsi="Verdana"/>
        </w:rPr>
      </w:pPr>
      <w:r>
        <w:rPr>
          <w:rFonts w:ascii="Verdana" w:hAnsi="Verdana"/>
        </w:rPr>
        <w:t>Suitability of site with regard to location and access to services</w:t>
      </w:r>
    </w:p>
    <w:p w14:paraId="6029F6DA" w14:textId="43C0990F" w:rsidR="003E2767" w:rsidRDefault="003E2767" w:rsidP="003E2767">
      <w:pPr>
        <w:pStyle w:val="ListParagraph"/>
        <w:numPr>
          <w:ilvl w:val="0"/>
          <w:numId w:val="2"/>
        </w:numPr>
        <w:rPr>
          <w:rFonts w:ascii="Verdana" w:hAnsi="Verdana"/>
        </w:rPr>
      </w:pPr>
      <w:r>
        <w:rPr>
          <w:rFonts w:ascii="Verdana" w:hAnsi="Verdana"/>
        </w:rPr>
        <w:t xml:space="preserve">Highway </w:t>
      </w:r>
      <w:r w:rsidR="0075655A">
        <w:rPr>
          <w:rFonts w:ascii="Verdana" w:hAnsi="Verdana"/>
        </w:rPr>
        <w:t xml:space="preserve">and pedestrian </w:t>
      </w:r>
      <w:r>
        <w:rPr>
          <w:rFonts w:ascii="Verdana" w:hAnsi="Verdana"/>
        </w:rPr>
        <w:t>safety, parking</w:t>
      </w:r>
    </w:p>
    <w:p w14:paraId="62880EA3" w14:textId="64B674D4" w:rsidR="003E2767" w:rsidRDefault="003E2767" w:rsidP="003E2767">
      <w:pPr>
        <w:pStyle w:val="ListParagraph"/>
        <w:numPr>
          <w:ilvl w:val="0"/>
          <w:numId w:val="2"/>
        </w:numPr>
        <w:rPr>
          <w:rFonts w:ascii="Verdana" w:hAnsi="Verdana"/>
        </w:rPr>
      </w:pPr>
      <w:r>
        <w:rPr>
          <w:rFonts w:ascii="Verdana" w:hAnsi="Verdana"/>
        </w:rPr>
        <w:t>Agricultural land quality</w:t>
      </w:r>
    </w:p>
    <w:p w14:paraId="6CBC1D3A" w14:textId="3255B4F2" w:rsidR="003E2767" w:rsidRDefault="003E2767" w:rsidP="003E2767">
      <w:pPr>
        <w:pStyle w:val="ListParagraph"/>
        <w:numPr>
          <w:ilvl w:val="0"/>
          <w:numId w:val="2"/>
        </w:numPr>
        <w:rPr>
          <w:rFonts w:ascii="Verdana" w:hAnsi="Verdana"/>
        </w:rPr>
      </w:pPr>
      <w:r>
        <w:rPr>
          <w:rFonts w:ascii="Verdana" w:hAnsi="Verdana"/>
        </w:rPr>
        <w:t>Housing land supply</w:t>
      </w:r>
    </w:p>
    <w:p w14:paraId="5B83B18C" w14:textId="009BEEFB" w:rsidR="003E2767" w:rsidRDefault="003E2767" w:rsidP="003E2767">
      <w:pPr>
        <w:pStyle w:val="ListParagraph"/>
        <w:numPr>
          <w:ilvl w:val="0"/>
          <w:numId w:val="2"/>
        </w:numPr>
        <w:rPr>
          <w:rFonts w:ascii="Verdana" w:hAnsi="Verdana"/>
        </w:rPr>
      </w:pPr>
      <w:r>
        <w:rPr>
          <w:rFonts w:ascii="Verdana" w:hAnsi="Verdana"/>
        </w:rPr>
        <w:t>Affordable housing</w:t>
      </w:r>
    </w:p>
    <w:p w14:paraId="1CC495DE" w14:textId="6054C8F4" w:rsidR="003E2767" w:rsidRDefault="003E2767" w:rsidP="003E2767">
      <w:pPr>
        <w:pStyle w:val="ListParagraph"/>
        <w:numPr>
          <w:ilvl w:val="0"/>
          <w:numId w:val="2"/>
        </w:numPr>
        <w:rPr>
          <w:rFonts w:ascii="Verdana" w:hAnsi="Verdana"/>
        </w:rPr>
      </w:pPr>
      <w:r>
        <w:rPr>
          <w:rFonts w:ascii="Verdana" w:hAnsi="Verdana"/>
        </w:rPr>
        <w:t>Infrastructure and services</w:t>
      </w:r>
    </w:p>
    <w:p w14:paraId="4893F5FA" w14:textId="6C09AE5B" w:rsidR="003E2767" w:rsidRDefault="003E2767" w:rsidP="003E2767">
      <w:pPr>
        <w:pStyle w:val="ListParagraph"/>
        <w:numPr>
          <w:ilvl w:val="0"/>
          <w:numId w:val="2"/>
        </w:numPr>
        <w:rPr>
          <w:rFonts w:ascii="Verdana" w:hAnsi="Verdana"/>
        </w:rPr>
      </w:pPr>
      <w:r>
        <w:rPr>
          <w:rFonts w:ascii="Verdana" w:hAnsi="Verdana"/>
        </w:rPr>
        <w:t>The planning balance</w:t>
      </w:r>
    </w:p>
    <w:p w14:paraId="0DF4AAC6" w14:textId="77777777" w:rsidR="003E2767" w:rsidRPr="003E2767" w:rsidRDefault="003E2767" w:rsidP="003E2767">
      <w:pPr>
        <w:pStyle w:val="ListParagraph"/>
        <w:rPr>
          <w:rFonts w:ascii="Verdana" w:hAnsi="Verdana"/>
        </w:rPr>
      </w:pPr>
    </w:p>
    <w:p w14:paraId="5081D407" w14:textId="64065315" w:rsidR="003E2767" w:rsidRPr="006B19DC" w:rsidRDefault="003E2767" w:rsidP="006B19DC">
      <w:pPr>
        <w:pStyle w:val="ListParagraph"/>
        <w:numPr>
          <w:ilvl w:val="0"/>
          <w:numId w:val="1"/>
        </w:numPr>
        <w:rPr>
          <w:rFonts w:ascii="Verdana" w:hAnsi="Verdana"/>
        </w:rPr>
      </w:pPr>
      <w:r>
        <w:rPr>
          <w:rFonts w:ascii="Verdana" w:hAnsi="Verdana"/>
        </w:rPr>
        <w:lastRenderedPageBreak/>
        <w:t>The main parties are working on a series of topic-based Statements of Common Ground (</w:t>
      </w:r>
      <w:proofErr w:type="spellStart"/>
      <w:r>
        <w:rPr>
          <w:rFonts w:ascii="Verdana" w:hAnsi="Verdana"/>
        </w:rPr>
        <w:t>SoCGs</w:t>
      </w:r>
      <w:proofErr w:type="spellEnd"/>
      <w:r>
        <w:rPr>
          <w:rFonts w:ascii="Verdana" w:hAnsi="Verdana"/>
        </w:rPr>
        <w:t xml:space="preserve">). These will </w:t>
      </w:r>
      <w:r w:rsidR="006B19DC">
        <w:rPr>
          <w:rFonts w:ascii="Verdana" w:hAnsi="Verdana"/>
        </w:rPr>
        <w:t xml:space="preserve">set out clearly where </w:t>
      </w:r>
      <w:r w:rsidR="00BA585B">
        <w:rPr>
          <w:rFonts w:ascii="Verdana" w:hAnsi="Verdana"/>
        </w:rPr>
        <w:t>matters</w:t>
      </w:r>
      <w:r w:rsidR="006B19DC">
        <w:rPr>
          <w:rFonts w:ascii="Verdana" w:hAnsi="Verdana"/>
        </w:rPr>
        <w:t xml:space="preserve"> are agreed and identify where there is any dispute, for example giving the range of shortfall in the 5-year housing land supply. Focussed </w:t>
      </w:r>
      <w:proofErr w:type="spellStart"/>
      <w:r w:rsidR="006B19DC">
        <w:rPr>
          <w:rFonts w:ascii="Verdana" w:hAnsi="Verdana"/>
        </w:rPr>
        <w:t>SoCGs</w:t>
      </w:r>
      <w:proofErr w:type="spellEnd"/>
      <w:r w:rsidR="006B19DC">
        <w:rPr>
          <w:rFonts w:ascii="Verdana" w:hAnsi="Verdana"/>
        </w:rPr>
        <w:t xml:space="preserve"> will be prepared on the following topics</w:t>
      </w:r>
      <w:r w:rsidRPr="006B19DC">
        <w:rPr>
          <w:rFonts w:ascii="Verdana" w:hAnsi="Verdana"/>
        </w:rPr>
        <w:t>:</w:t>
      </w:r>
    </w:p>
    <w:p w14:paraId="44113284" w14:textId="77777777" w:rsidR="003E2767" w:rsidRDefault="003E2767" w:rsidP="003E2767">
      <w:pPr>
        <w:pStyle w:val="ListParagraph"/>
        <w:ind w:left="360"/>
        <w:rPr>
          <w:rFonts w:ascii="Verdana" w:hAnsi="Verdana"/>
        </w:rPr>
      </w:pPr>
    </w:p>
    <w:p w14:paraId="29C83A0A" w14:textId="3E997DCF" w:rsidR="003E2767" w:rsidRDefault="003E2767" w:rsidP="003E2767">
      <w:pPr>
        <w:pStyle w:val="ListParagraph"/>
        <w:numPr>
          <w:ilvl w:val="0"/>
          <w:numId w:val="3"/>
        </w:numPr>
        <w:rPr>
          <w:rFonts w:ascii="Verdana" w:hAnsi="Verdana"/>
        </w:rPr>
      </w:pPr>
      <w:r>
        <w:rPr>
          <w:rFonts w:ascii="Verdana" w:hAnsi="Verdana"/>
        </w:rPr>
        <w:t>5-year housing land supply</w:t>
      </w:r>
    </w:p>
    <w:p w14:paraId="38E44DCC" w14:textId="4B690C25" w:rsidR="003E2767" w:rsidRDefault="003E2767" w:rsidP="003E2767">
      <w:pPr>
        <w:pStyle w:val="ListParagraph"/>
        <w:numPr>
          <w:ilvl w:val="0"/>
          <w:numId w:val="3"/>
        </w:numPr>
        <w:rPr>
          <w:rFonts w:ascii="Verdana" w:hAnsi="Verdana"/>
        </w:rPr>
      </w:pPr>
      <w:r>
        <w:rPr>
          <w:rFonts w:ascii="Verdana" w:hAnsi="Verdana"/>
        </w:rPr>
        <w:t>Heritage matters</w:t>
      </w:r>
    </w:p>
    <w:p w14:paraId="6134EEAF" w14:textId="20602FCE" w:rsidR="003E2767" w:rsidRDefault="003E2767" w:rsidP="003E2767">
      <w:pPr>
        <w:pStyle w:val="ListParagraph"/>
        <w:numPr>
          <w:ilvl w:val="0"/>
          <w:numId w:val="3"/>
        </w:numPr>
        <w:rPr>
          <w:rFonts w:ascii="Verdana" w:hAnsi="Verdana"/>
        </w:rPr>
      </w:pPr>
      <w:r>
        <w:rPr>
          <w:rFonts w:ascii="Verdana" w:hAnsi="Verdana"/>
        </w:rPr>
        <w:t>Landscape character and appearance</w:t>
      </w:r>
    </w:p>
    <w:p w14:paraId="71047D67" w14:textId="666072C3" w:rsidR="003E2767" w:rsidRDefault="003E2767" w:rsidP="003E2767">
      <w:pPr>
        <w:pStyle w:val="ListParagraph"/>
        <w:numPr>
          <w:ilvl w:val="0"/>
          <w:numId w:val="3"/>
        </w:numPr>
        <w:rPr>
          <w:rFonts w:ascii="Verdana" w:hAnsi="Verdana"/>
        </w:rPr>
      </w:pPr>
      <w:r>
        <w:rPr>
          <w:rFonts w:ascii="Verdana" w:hAnsi="Verdana"/>
        </w:rPr>
        <w:t>Transport</w:t>
      </w:r>
      <w:r w:rsidR="006B19DC">
        <w:rPr>
          <w:rFonts w:ascii="Verdana" w:hAnsi="Verdana"/>
        </w:rPr>
        <w:t xml:space="preserve">, </w:t>
      </w:r>
      <w:r>
        <w:rPr>
          <w:rFonts w:ascii="Verdana" w:hAnsi="Verdana"/>
        </w:rPr>
        <w:t>highwa</w:t>
      </w:r>
      <w:r w:rsidR="006B19DC">
        <w:rPr>
          <w:rFonts w:ascii="Verdana" w:hAnsi="Verdana"/>
        </w:rPr>
        <w:t xml:space="preserve">ys and accessibility </w:t>
      </w:r>
    </w:p>
    <w:p w14:paraId="1DB98960" w14:textId="30FFA53E" w:rsidR="003E2767" w:rsidRDefault="003E2767" w:rsidP="003E2767">
      <w:pPr>
        <w:pStyle w:val="ListParagraph"/>
        <w:numPr>
          <w:ilvl w:val="0"/>
          <w:numId w:val="3"/>
        </w:numPr>
        <w:rPr>
          <w:rFonts w:ascii="Verdana" w:hAnsi="Verdana"/>
        </w:rPr>
      </w:pPr>
      <w:r>
        <w:rPr>
          <w:rFonts w:ascii="Verdana" w:hAnsi="Verdana"/>
        </w:rPr>
        <w:t>Agricultural land quality</w:t>
      </w:r>
    </w:p>
    <w:p w14:paraId="5A1117E9" w14:textId="77777777" w:rsidR="003E2767" w:rsidRDefault="003E2767" w:rsidP="003E2767">
      <w:pPr>
        <w:pStyle w:val="ListParagraph"/>
        <w:ind w:left="360"/>
        <w:rPr>
          <w:rFonts w:ascii="Verdana" w:hAnsi="Verdana"/>
        </w:rPr>
      </w:pPr>
    </w:p>
    <w:p w14:paraId="34A4B4D5" w14:textId="13C6646D" w:rsidR="003E2767" w:rsidRDefault="003E2767" w:rsidP="00503540">
      <w:pPr>
        <w:pStyle w:val="ListParagraph"/>
        <w:numPr>
          <w:ilvl w:val="0"/>
          <w:numId w:val="1"/>
        </w:numPr>
        <w:rPr>
          <w:rFonts w:ascii="Verdana" w:hAnsi="Verdana"/>
        </w:rPr>
      </w:pPr>
      <w:r>
        <w:rPr>
          <w:rFonts w:ascii="Verdana" w:hAnsi="Verdana"/>
        </w:rPr>
        <w:t xml:space="preserve">It was agreed that agricultural land quality will be addressed through the written representations. Representations from the public will be taken into account alongside any </w:t>
      </w:r>
      <w:proofErr w:type="spellStart"/>
      <w:r>
        <w:rPr>
          <w:rFonts w:ascii="Verdana" w:hAnsi="Verdana"/>
        </w:rPr>
        <w:t>SoCG</w:t>
      </w:r>
      <w:proofErr w:type="spellEnd"/>
      <w:r w:rsidR="006B19DC">
        <w:rPr>
          <w:rFonts w:ascii="Verdana" w:hAnsi="Verdana"/>
        </w:rPr>
        <w:t>.</w:t>
      </w:r>
    </w:p>
    <w:p w14:paraId="68DA6EF7" w14:textId="77777777" w:rsidR="003E2767" w:rsidRDefault="003E2767" w:rsidP="003E2767">
      <w:pPr>
        <w:pStyle w:val="ListParagraph"/>
        <w:ind w:left="360"/>
        <w:rPr>
          <w:rFonts w:ascii="Verdana" w:hAnsi="Verdana"/>
        </w:rPr>
      </w:pPr>
    </w:p>
    <w:p w14:paraId="6039F86E" w14:textId="77777777" w:rsidR="0092540E" w:rsidRDefault="00D46C99" w:rsidP="00503540">
      <w:pPr>
        <w:pStyle w:val="ListParagraph"/>
        <w:numPr>
          <w:ilvl w:val="0"/>
          <w:numId w:val="1"/>
        </w:numPr>
        <w:rPr>
          <w:rFonts w:ascii="Verdana" w:hAnsi="Verdana"/>
        </w:rPr>
      </w:pPr>
      <w:r>
        <w:rPr>
          <w:rFonts w:ascii="Verdana" w:hAnsi="Verdana"/>
        </w:rPr>
        <w:t>Subject to the timely preparation and completion of</w:t>
      </w:r>
      <w:r w:rsidR="00A52DB9">
        <w:rPr>
          <w:rFonts w:ascii="Verdana" w:hAnsi="Verdana"/>
        </w:rPr>
        <w:t xml:space="preserve"> the focussed </w:t>
      </w:r>
      <w:proofErr w:type="spellStart"/>
      <w:r w:rsidR="00A52DB9">
        <w:rPr>
          <w:rFonts w:ascii="Verdana" w:hAnsi="Verdana"/>
        </w:rPr>
        <w:t>SoCGs</w:t>
      </w:r>
      <w:proofErr w:type="spellEnd"/>
      <w:r w:rsidR="00A52DB9">
        <w:rPr>
          <w:rFonts w:ascii="Verdana" w:hAnsi="Verdana"/>
        </w:rPr>
        <w:t>, i</w:t>
      </w:r>
      <w:r w:rsidR="003E2767">
        <w:rPr>
          <w:rFonts w:ascii="Verdana" w:hAnsi="Verdana"/>
        </w:rPr>
        <w:t xml:space="preserve">t was agreed that </w:t>
      </w:r>
      <w:r w:rsidR="00A52DB9">
        <w:rPr>
          <w:rFonts w:ascii="Verdana" w:hAnsi="Verdana"/>
        </w:rPr>
        <w:t xml:space="preserve">issues relating to </w:t>
      </w:r>
      <w:r w:rsidR="005561DD">
        <w:rPr>
          <w:rFonts w:ascii="Verdana" w:hAnsi="Verdana"/>
        </w:rPr>
        <w:t xml:space="preserve">heritage, landscape character and </w:t>
      </w:r>
      <w:r w:rsidR="00260DA3">
        <w:rPr>
          <w:rFonts w:ascii="Verdana" w:hAnsi="Verdana"/>
        </w:rPr>
        <w:t>highway/</w:t>
      </w:r>
      <w:r w:rsidR="005561DD">
        <w:rPr>
          <w:rFonts w:ascii="Verdana" w:hAnsi="Verdana"/>
        </w:rPr>
        <w:t xml:space="preserve">transport/accessibility would be </w:t>
      </w:r>
      <w:r w:rsidR="00A52DB9">
        <w:rPr>
          <w:rFonts w:ascii="Verdana" w:hAnsi="Verdana"/>
        </w:rPr>
        <w:t xml:space="preserve">appropriately </w:t>
      </w:r>
      <w:r w:rsidR="005561DD">
        <w:rPr>
          <w:rFonts w:ascii="Verdana" w:hAnsi="Verdana"/>
        </w:rPr>
        <w:t xml:space="preserve">addressed through round table </w:t>
      </w:r>
      <w:r w:rsidR="00081BB2">
        <w:rPr>
          <w:rFonts w:ascii="Verdana" w:hAnsi="Verdana"/>
        </w:rPr>
        <w:t>session</w:t>
      </w:r>
      <w:r w:rsidR="005561DD">
        <w:rPr>
          <w:rFonts w:ascii="Verdana" w:hAnsi="Verdana"/>
        </w:rPr>
        <w:t xml:space="preserve">s. </w:t>
      </w:r>
      <w:r w:rsidR="00860B6A">
        <w:rPr>
          <w:rFonts w:ascii="Verdana" w:hAnsi="Verdana"/>
        </w:rPr>
        <w:t xml:space="preserve">The Inspector </w:t>
      </w:r>
      <w:r w:rsidR="001A5B5F">
        <w:rPr>
          <w:rFonts w:ascii="Verdana" w:hAnsi="Verdana"/>
        </w:rPr>
        <w:t>requested the main parties t</w:t>
      </w:r>
      <w:r w:rsidR="00860B6A">
        <w:rPr>
          <w:rFonts w:ascii="Verdana" w:hAnsi="Verdana"/>
        </w:rPr>
        <w:t xml:space="preserve">o ensure that </w:t>
      </w:r>
      <w:r w:rsidR="007C1319">
        <w:rPr>
          <w:rFonts w:ascii="Verdana" w:hAnsi="Verdana"/>
        </w:rPr>
        <w:t xml:space="preserve">the </w:t>
      </w:r>
      <w:proofErr w:type="spellStart"/>
      <w:r w:rsidR="007C1319">
        <w:rPr>
          <w:rFonts w:ascii="Verdana" w:hAnsi="Verdana"/>
        </w:rPr>
        <w:t>SoCGs</w:t>
      </w:r>
      <w:proofErr w:type="spellEnd"/>
      <w:r w:rsidR="007C1319">
        <w:rPr>
          <w:rFonts w:ascii="Verdana" w:hAnsi="Verdana"/>
        </w:rPr>
        <w:t xml:space="preserve"> on these topics are shared with the </w:t>
      </w:r>
      <w:r w:rsidR="00860B6A">
        <w:rPr>
          <w:rFonts w:ascii="Verdana" w:hAnsi="Verdana"/>
        </w:rPr>
        <w:t>CHPC</w:t>
      </w:r>
      <w:r w:rsidR="00D5428A">
        <w:rPr>
          <w:rFonts w:ascii="Verdana" w:hAnsi="Verdana"/>
        </w:rPr>
        <w:t>. This will give them</w:t>
      </w:r>
      <w:r w:rsidR="00860B6A">
        <w:rPr>
          <w:rFonts w:ascii="Verdana" w:hAnsi="Verdana"/>
        </w:rPr>
        <w:t xml:space="preserve"> </w:t>
      </w:r>
      <w:r w:rsidR="007C1319">
        <w:rPr>
          <w:rFonts w:ascii="Verdana" w:hAnsi="Verdana"/>
        </w:rPr>
        <w:t>an opportunity to comment on them</w:t>
      </w:r>
      <w:r w:rsidR="00D5428A">
        <w:rPr>
          <w:rFonts w:ascii="Verdana" w:hAnsi="Verdana"/>
        </w:rPr>
        <w:t>,</w:t>
      </w:r>
      <w:r w:rsidR="007C1319">
        <w:rPr>
          <w:rFonts w:ascii="Verdana" w:hAnsi="Verdana"/>
        </w:rPr>
        <w:t xml:space="preserve"> identify </w:t>
      </w:r>
      <w:r w:rsidR="00A44ACD">
        <w:rPr>
          <w:rFonts w:ascii="Verdana" w:hAnsi="Verdana"/>
        </w:rPr>
        <w:t xml:space="preserve">where </w:t>
      </w:r>
      <w:r w:rsidR="00D5428A">
        <w:rPr>
          <w:rFonts w:ascii="Verdana" w:hAnsi="Verdana"/>
        </w:rPr>
        <w:t xml:space="preserve">there are </w:t>
      </w:r>
      <w:r w:rsidR="00A44ACD">
        <w:rPr>
          <w:rFonts w:ascii="Verdana" w:hAnsi="Verdana"/>
        </w:rPr>
        <w:t>differences of view</w:t>
      </w:r>
      <w:r w:rsidR="00D5428A">
        <w:rPr>
          <w:rFonts w:ascii="Verdana" w:hAnsi="Verdana"/>
        </w:rPr>
        <w:t>,</w:t>
      </w:r>
      <w:r w:rsidR="00A44ACD">
        <w:rPr>
          <w:rFonts w:ascii="Verdana" w:hAnsi="Verdana"/>
        </w:rPr>
        <w:t xml:space="preserve"> </w:t>
      </w:r>
      <w:r w:rsidR="00D5428A">
        <w:rPr>
          <w:rFonts w:ascii="Verdana" w:hAnsi="Verdana"/>
        </w:rPr>
        <w:t xml:space="preserve">and </w:t>
      </w:r>
      <w:r w:rsidR="00A44ACD">
        <w:rPr>
          <w:rFonts w:ascii="Verdana" w:hAnsi="Verdana"/>
        </w:rPr>
        <w:t xml:space="preserve">assist them in the preparation of their own evidence. </w:t>
      </w:r>
    </w:p>
    <w:p w14:paraId="2AFC89AD" w14:textId="77777777" w:rsidR="0092540E" w:rsidRPr="0092540E" w:rsidRDefault="0092540E" w:rsidP="0092540E">
      <w:pPr>
        <w:pStyle w:val="ListParagraph"/>
        <w:rPr>
          <w:rFonts w:ascii="Verdana" w:hAnsi="Verdana"/>
        </w:rPr>
      </w:pPr>
    </w:p>
    <w:p w14:paraId="0833DF6B" w14:textId="4A103D90" w:rsidR="00081BB2" w:rsidRDefault="00081BB2" w:rsidP="00503540">
      <w:pPr>
        <w:pStyle w:val="ListParagraph"/>
        <w:numPr>
          <w:ilvl w:val="0"/>
          <w:numId w:val="1"/>
        </w:numPr>
        <w:rPr>
          <w:rFonts w:ascii="Verdana" w:hAnsi="Verdana"/>
        </w:rPr>
      </w:pPr>
      <w:r>
        <w:rPr>
          <w:rFonts w:ascii="Verdana" w:hAnsi="Verdana"/>
        </w:rPr>
        <w:t>Following on from these round table sessions, matters relating to Green Belt (openness and purposes)</w:t>
      </w:r>
      <w:r w:rsidR="00A52DB9">
        <w:rPr>
          <w:rFonts w:ascii="Verdana" w:hAnsi="Verdana"/>
        </w:rPr>
        <w:t>, other planning matters (including affordable housing),</w:t>
      </w:r>
      <w:r>
        <w:rPr>
          <w:rFonts w:ascii="Verdana" w:hAnsi="Verdana"/>
        </w:rPr>
        <w:t xml:space="preserve"> and the planning balance</w:t>
      </w:r>
      <w:r w:rsidR="00A52DB9">
        <w:rPr>
          <w:rFonts w:ascii="Verdana" w:hAnsi="Verdana"/>
        </w:rPr>
        <w:t>,</w:t>
      </w:r>
      <w:r>
        <w:rPr>
          <w:rFonts w:ascii="Verdana" w:hAnsi="Verdana"/>
        </w:rPr>
        <w:t xml:space="preserve"> will be dealt with through the presentation of evidence</w:t>
      </w:r>
      <w:r w:rsidR="00E640B2">
        <w:rPr>
          <w:rFonts w:ascii="Verdana" w:hAnsi="Verdana"/>
        </w:rPr>
        <w:t>-</w:t>
      </w:r>
      <w:r>
        <w:rPr>
          <w:rFonts w:ascii="Verdana" w:hAnsi="Verdana"/>
        </w:rPr>
        <w:t>in</w:t>
      </w:r>
      <w:r w:rsidR="00E640B2">
        <w:rPr>
          <w:rFonts w:ascii="Verdana" w:hAnsi="Verdana"/>
        </w:rPr>
        <w:t>-</w:t>
      </w:r>
      <w:r>
        <w:rPr>
          <w:rFonts w:ascii="Verdana" w:hAnsi="Verdana"/>
        </w:rPr>
        <w:t>chief and cross-examination.</w:t>
      </w:r>
    </w:p>
    <w:p w14:paraId="1941D957" w14:textId="77777777" w:rsidR="00081BB2" w:rsidRPr="00081BB2" w:rsidRDefault="00081BB2" w:rsidP="00081BB2">
      <w:pPr>
        <w:pStyle w:val="ListParagraph"/>
        <w:rPr>
          <w:rFonts w:ascii="Verdana" w:hAnsi="Verdana"/>
        </w:rPr>
      </w:pPr>
    </w:p>
    <w:p w14:paraId="023B6FBB" w14:textId="14698F14" w:rsidR="00F3763B" w:rsidRPr="00B13995" w:rsidRDefault="00B13995" w:rsidP="00081B80">
      <w:pPr>
        <w:pStyle w:val="ListParagraph"/>
        <w:ind w:left="360"/>
        <w:rPr>
          <w:rFonts w:ascii="Verdana" w:hAnsi="Verdana"/>
          <w:b/>
          <w:bCs/>
        </w:rPr>
      </w:pPr>
      <w:r w:rsidRPr="00B13995">
        <w:rPr>
          <w:rFonts w:ascii="Verdana" w:hAnsi="Verdana"/>
          <w:b/>
          <w:bCs/>
        </w:rPr>
        <w:t>Core Documents</w:t>
      </w:r>
    </w:p>
    <w:p w14:paraId="7044B85E" w14:textId="7F2CE44C" w:rsidR="00081B80" w:rsidRPr="00081B80" w:rsidRDefault="00081B80" w:rsidP="00081B80">
      <w:pPr>
        <w:pStyle w:val="ListParagraph"/>
        <w:rPr>
          <w:rFonts w:ascii="Verdana" w:hAnsi="Verdana"/>
        </w:rPr>
      </w:pPr>
    </w:p>
    <w:p w14:paraId="2CEDDE10" w14:textId="5CB36B65" w:rsidR="00B84CE8" w:rsidRDefault="00F3763B" w:rsidP="00F3763B">
      <w:pPr>
        <w:pStyle w:val="ListParagraph"/>
        <w:numPr>
          <w:ilvl w:val="0"/>
          <w:numId w:val="1"/>
        </w:numPr>
        <w:rPr>
          <w:rFonts w:ascii="Verdana" w:hAnsi="Verdana"/>
        </w:rPr>
      </w:pPr>
      <w:r>
        <w:rPr>
          <w:rFonts w:ascii="Verdana" w:hAnsi="Verdana"/>
        </w:rPr>
        <w:t>The appellant agreed to take the lead in preparing a list of core documents (CDs), this will be submitted to the Council and the R6 party</w:t>
      </w:r>
      <w:r w:rsidR="00AA6CC7">
        <w:rPr>
          <w:rFonts w:ascii="Verdana" w:hAnsi="Verdana"/>
        </w:rPr>
        <w:t xml:space="preserve"> who can </w:t>
      </w:r>
      <w:r>
        <w:rPr>
          <w:rFonts w:ascii="Verdana" w:hAnsi="Verdana"/>
        </w:rPr>
        <w:t xml:space="preserve">add any </w:t>
      </w:r>
      <w:r w:rsidR="00AA6CC7">
        <w:rPr>
          <w:rFonts w:ascii="Verdana" w:hAnsi="Verdana"/>
        </w:rPr>
        <w:t xml:space="preserve">additional </w:t>
      </w:r>
      <w:r>
        <w:rPr>
          <w:rFonts w:ascii="Verdana" w:hAnsi="Verdana"/>
        </w:rPr>
        <w:t xml:space="preserve">documents to which they will be referring. </w:t>
      </w:r>
      <w:r w:rsidR="0033679E">
        <w:rPr>
          <w:rFonts w:ascii="Verdana" w:hAnsi="Verdana"/>
        </w:rPr>
        <w:t>The Inspector requests that only</w:t>
      </w:r>
      <w:r>
        <w:rPr>
          <w:rFonts w:ascii="Verdana" w:hAnsi="Verdana"/>
        </w:rPr>
        <w:t xml:space="preserve"> documents which will be referr</w:t>
      </w:r>
      <w:r w:rsidR="00D859BE">
        <w:rPr>
          <w:rFonts w:ascii="Verdana" w:hAnsi="Verdana"/>
        </w:rPr>
        <w:t>ed</w:t>
      </w:r>
      <w:r>
        <w:rPr>
          <w:rFonts w:ascii="Verdana" w:hAnsi="Verdana"/>
        </w:rPr>
        <w:t xml:space="preserve"> when presenting </w:t>
      </w:r>
      <w:r w:rsidR="006F2235">
        <w:rPr>
          <w:rFonts w:ascii="Verdana" w:hAnsi="Verdana"/>
        </w:rPr>
        <w:t>the</w:t>
      </w:r>
      <w:r>
        <w:rPr>
          <w:rFonts w:ascii="Verdana" w:hAnsi="Verdana"/>
        </w:rPr>
        <w:t xml:space="preserve"> case</w:t>
      </w:r>
      <w:r w:rsidR="0033679E">
        <w:rPr>
          <w:rFonts w:ascii="Verdana" w:hAnsi="Verdana"/>
        </w:rPr>
        <w:t xml:space="preserve"> should be included in the list</w:t>
      </w:r>
      <w:r>
        <w:rPr>
          <w:rFonts w:ascii="Verdana" w:hAnsi="Verdana"/>
        </w:rPr>
        <w:t xml:space="preserve">, and preferably relevant extracts where the documents are lengthy. </w:t>
      </w:r>
      <w:r w:rsidR="008C5DBA">
        <w:rPr>
          <w:rFonts w:ascii="Verdana" w:hAnsi="Verdana"/>
        </w:rPr>
        <w:t>Th</w:t>
      </w:r>
      <w:r w:rsidR="00F906BD">
        <w:rPr>
          <w:rFonts w:ascii="Verdana" w:hAnsi="Verdana"/>
        </w:rPr>
        <w:t>e</w:t>
      </w:r>
      <w:r w:rsidR="008C5DBA">
        <w:rPr>
          <w:rFonts w:ascii="Verdana" w:hAnsi="Verdana"/>
        </w:rPr>
        <w:t xml:space="preserve"> list should</w:t>
      </w:r>
      <w:r w:rsidR="00CC341B">
        <w:rPr>
          <w:rFonts w:ascii="Verdana" w:hAnsi="Verdana"/>
        </w:rPr>
        <w:t xml:space="preserve"> be agreed </w:t>
      </w:r>
      <w:r w:rsidR="00DC1EAC">
        <w:rPr>
          <w:rFonts w:ascii="Verdana" w:hAnsi="Verdana"/>
        </w:rPr>
        <w:t>by the main and R6 part</w:t>
      </w:r>
      <w:r w:rsidR="0048730B">
        <w:rPr>
          <w:rFonts w:ascii="Verdana" w:hAnsi="Verdana"/>
        </w:rPr>
        <w:t>ies to ensure consistent referencing throughout the proofs of evidence (</w:t>
      </w:r>
      <w:proofErr w:type="spellStart"/>
      <w:r w:rsidR="0048730B">
        <w:rPr>
          <w:rFonts w:ascii="Verdana" w:hAnsi="Verdana"/>
        </w:rPr>
        <w:t>PoEs</w:t>
      </w:r>
      <w:proofErr w:type="spellEnd"/>
      <w:r w:rsidR="0048730B">
        <w:rPr>
          <w:rFonts w:ascii="Verdana" w:hAnsi="Verdana"/>
        </w:rPr>
        <w:t>) and</w:t>
      </w:r>
      <w:r w:rsidR="00AE16E0">
        <w:rPr>
          <w:rFonts w:ascii="Verdana" w:hAnsi="Verdana"/>
        </w:rPr>
        <w:t xml:space="preserve"> should be submitted along with the </w:t>
      </w:r>
      <w:proofErr w:type="spellStart"/>
      <w:r w:rsidR="00AE16E0">
        <w:rPr>
          <w:rFonts w:ascii="Verdana" w:hAnsi="Verdana"/>
        </w:rPr>
        <w:t>PoEs</w:t>
      </w:r>
      <w:proofErr w:type="spellEnd"/>
      <w:r w:rsidR="00B602FA">
        <w:rPr>
          <w:rFonts w:ascii="Verdana" w:hAnsi="Verdana"/>
        </w:rPr>
        <w:t xml:space="preserve"> in accordance with the agreed timetable.</w:t>
      </w:r>
      <w:r w:rsidR="00DC1EAC">
        <w:rPr>
          <w:rFonts w:ascii="Verdana" w:hAnsi="Verdana"/>
        </w:rPr>
        <w:t xml:space="preserve"> </w:t>
      </w:r>
    </w:p>
    <w:p w14:paraId="35ED0949" w14:textId="77777777" w:rsidR="00B84CE8" w:rsidRDefault="00B84CE8" w:rsidP="00B84CE8">
      <w:pPr>
        <w:pStyle w:val="ListParagraph"/>
        <w:ind w:left="360"/>
        <w:rPr>
          <w:rFonts w:ascii="Verdana" w:hAnsi="Verdana"/>
        </w:rPr>
      </w:pPr>
    </w:p>
    <w:p w14:paraId="50A5C31F" w14:textId="61D6AE00" w:rsidR="00F3763B" w:rsidRDefault="00F3763B" w:rsidP="00F3763B">
      <w:pPr>
        <w:pStyle w:val="ListParagraph"/>
        <w:numPr>
          <w:ilvl w:val="0"/>
          <w:numId w:val="1"/>
        </w:numPr>
        <w:rPr>
          <w:rFonts w:ascii="Verdana" w:hAnsi="Verdana"/>
        </w:rPr>
      </w:pPr>
      <w:r>
        <w:rPr>
          <w:rFonts w:ascii="Verdana" w:hAnsi="Verdana"/>
        </w:rPr>
        <w:t>It is anticipated the Council will host the CDs through a dedicated link</w:t>
      </w:r>
      <w:r w:rsidR="00AA0110">
        <w:rPr>
          <w:rFonts w:ascii="Verdana" w:hAnsi="Verdana"/>
        </w:rPr>
        <w:t xml:space="preserve"> from its website</w:t>
      </w:r>
      <w:r>
        <w:rPr>
          <w:rFonts w:ascii="Verdana" w:hAnsi="Verdana"/>
        </w:rPr>
        <w:t>. The Inspector asked that the</w:t>
      </w:r>
      <w:r w:rsidR="00217EC1">
        <w:rPr>
          <w:rFonts w:ascii="Verdana" w:hAnsi="Verdana"/>
        </w:rPr>
        <w:t xml:space="preserve"> CD library</w:t>
      </w:r>
      <w:r>
        <w:rPr>
          <w:rFonts w:ascii="Verdana" w:hAnsi="Verdana"/>
        </w:rPr>
        <w:t xml:space="preserve"> </w:t>
      </w:r>
      <w:r w:rsidR="008706A8">
        <w:rPr>
          <w:rFonts w:ascii="Verdana" w:hAnsi="Verdana"/>
        </w:rPr>
        <w:t xml:space="preserve">is </w:t>
      </w:r>
      <w:r>
        <w:rPr>
          <w:rFonts w:ascii="Verdana" w:hAnsi="Verdana"/>
        </w:rPr>
        <w:t xml:space="preserve">set out in a manner which makes </w:t>
      </w:r>
      <w:r w:rsidR="008706A8">
        <w:rPr>
          <w:rFonts w:ascii="Verdana" w:hAnsi="Verdana"/>
        </w:rPr>
        <w:t>documents</w:t>
      </w:r>
      <w:r>
        <w:rPr>
          <w:rFonts w:ascii="Verdana" w:hAnsi="Verdana"/>
        </w:rPr>
        <w:t xml:space="preserve"> easy to access during the Inquiry</w:t>
      </w:r>
      <w:r w:rsidR="00EC15EB">
        <w:rPr>
          <w:rFonts w:ascii="Verdana" w:hAnsi="Verdana"/>
        </w:rPr>
        <w:t xml:space="preserve">. She also requested an electronic copy of all the CDs </w:t>
      </w:r>
      <w:r w:rsidR="00581005">
        <w:rPr>
          <w:rFonts w:ascii="Verdana" w:hAnsi="Verdana"/>
        </w:rPr>
        <w:t xml:space="preserve">in an appropriate format to enable them to be stored on her laptop. </w:t>
      </w:r>
      <w:r>
        <w:rPr>
          <w:rFonts w:ascii="Verdana" w:hAnsi="Verdana"/>
        </w:rPr>
        <w:t xml:space="preserve">She asked the Council to consider ways that documents could, if necessary, be </w:t>
      </w:r>
      <w:r w:rsidR="00AA0110">
        <w:rPr>
          <w:rFonts w:ascii="Verdana" w:hAnsi="Verdana"/>
        </w:rPr>
        <w:t xml:space="preserve">referred to on a screen so that everyone could view them during the Inquiry. However, </w:t>
      </w:r>
      <w:r w:rsidR="00791E38">
        <w:rPr>
          <w:rFonts w:ascii="Verdana" w:hAnsi="Verdana"/>
        </w:rPr>
        <w:t xml:space="preserve">it was accepted that </w:t>
      </w:r>
      <w:r w:rsidR="00AA0110">
        <w:rPr>
          <w:rFonts w:ascii="Verdana" w:hAnsi="Verdana"/>
        </w:rPr>
        <w:t>without an additional member of staff being available, this may not prove possible.</w:t>
      </w:r>
      <w:r w:rsidR="00E50439">
        <w:rPr>
          <w:rFonts w:ascii="Verdana" w:hAnsi="Verdana"/>
        </w:rPr>
        <w:t xml:space="preserve"> </w:t>
      </w:r>
    </w:p>
    <w:p w14:paraId="4231C948" w14:textId="77777777" w:rsidR="00F3763B" w:rsidRPr="00F3763B" w:rsidRDefault="00F3763B" w:rsidP="00F3763B">
      <w:pPr>
        <w:pStyle w:val="ListParagraph"/>
        <w:rPr>
          <w:rFonts w:ascii="Verdana" w:hAnsi="Verdana"/>
        </w:rPr>
      </w:pPr>
    </w:p>
    <w:p w14:paraId="1207A3C3" w14:textId="20034922" w:rsidR="00E257DB" w:rsidRDefault="00AA0110" w:rsidP="00F3763B">
      <w:pPr>
        <w:pStyle w:val="ListParagraph"/>
        <w:numPr>
          <w:ilvl w:val="0"/>
          <w:numId w:val="1"/>
        </w:numPr>
        <w:rPr>
          <w:rFonts w:ascii="Verdana" w:hAnsi="Verdana"/>
        </w:rPr>
      </w:pPr>
      <w:r>
        <w:rPr>
          <w:rFonts w:ascii="Verdana" w:hAnsi="Verdana"/>
        </w:rPr>
        <w:t xml:space="preserve">The Inspector confirmed that she is not requiring hard copies of the CDs. She has asked the case officer to ensure that she has hard copies of all the proofs </w:t>
      </w:r>
      <w:r w:rsidR="00335AE6">
        <w:rPr>
          <w:rFonts w:ascii="Verdana" w:hAnsi="Verdana"/>
        </w:rPr>
        <w:t xml:space="preserve">of evidence </w:t>
      </w:r>
      <w:r>
        <w:rPr>
          <w:rFonts w:ascii="Verdana" w:hAnsi="Verdana"/>
        </w:rPr>
        <w:t xml:space="preserve">and will print off hard copies of other documents which she considers to be of particular relevance. </w:t>
      </w:r>
    </w:p>
    <w:p w14:paraId="4A221CA6" w14:textId="77777777" w:rsidR="00E257DB" w:rsidRPr="00E257DB" w:rsidRDefault="00E257DB" w:rsidP="00E257DB">
      <w:pPr>
        <w:pStyle w:val="ListParagraph"/>
        <w:rPr>
          <w:rFonts w:ascii="Verdana" w:hAnsi="Verdana"/>
        </w:rPr>
      </w:pPr>
    </w:p>
    <w:p w14:paraId="28398861" w14:textId="1CF9C254" w:rsidR="00F3763B" w:rsidRDefault="00E257DB" w:rsidP="00F3763B">
      <w:pPr>
        <w:pStyle w:val="ListParagraph"/>
        <w:numPr>
          <w:ilvl w:val="0"/>
          <w:numId w:val="1"/>
        </w:numPr>
        <w:rPr>
          <w:rFonts w:ascii="Verdana" w:hAnsi="Verdana"/>
        </w:rPr>
      </w:pPr>
      <w:r>
        <w:rPr>
          <w:rFonts w:ascii="Verdana" w:hAnsi="Verdana"/>
        </w:rPr>
        <w:t xml:space="preserve">It was </w:t>
      </w:r>
      <w:r w:rsidR="00AA0110">
        <w:rPr>
          <w:rFonts w:ascii="Verdana" w:hAnsi="Verdana"/>
        </w:rPr>
        <w:t xml:space="preserve">agreed that access to the CDs for interested parties at the Inquiry </w:t>
      </w:r>
      <w:r w:rsidR="004F3F6A">
        <w:rPr>
          <w:rFonts w:ascii="Verdana" w:hAnsi="Verdana"/>
        </w:rPr>
        <w:t>w</w:t>
      </w:r>
      <w:r w:rsidR="00AA0110">
        <w:rPr>
          <w:rFonts w:ascii="Verdana" w:hAnsi="Verdana"/>
        </w:rPr>
        <w:t>ould be made available via the provision of additional laptops</w:t>
      </w:r>
      <w:r w:rsidR="00217EC1">
        <w:rPr>
          <w:rFonts w:ascii="Verdana" w:hAnsi="Verdana"/>
        </w:rPr>
        <w:t>, in preference to providing hard copies</w:t>
      </w:r>
      <w:r w:rsidR="00AA0110">
        <w:rPr>
          <w:rFonts w:ascii="Verdana" w:hAnsi="Verdana"/>
        </w:rPr>
        <w:t xml:space="preserve">. </w:t>
      </w:r>
    </w:p>
    <w:p w14:paraId="3A84F789" w14:textId="77777777" w:rsidR="00217EC1" w:rsidRPr="00217EC1" w:rsidRDefault="00217EC1" w:rsidP="00217EC1">
      <w:pPr>
        <w:pStyle w:val="ListParagraph"/>
        <w:rPr>
          <w:rFonts w:ascii="Verdana" w:hAnsi="Verdana"/>
        </w:rPr>
      </w:pPr>
    </w:p>
    <w:p w14:paraId="0D86B8A4" w14:textId="5F349AEF" w:rsidR="00562182" w:rsidRPr="00B147E0" w:rsidRDefault="00562182" w:rsidP="00562182">
      <w:pPr>
        <w:pStyle w:val="ListParagraph"/>
        <w:ind w:left="360"/>
        <w:rPr>
          <w:rFonts w:ascii="Verdana" w:hAnsi="Verdana"/>
          <w:b/>
          <w:bCs/>
        </w:rPr>
      </w:pPr>
      <w:r w:rsidRPr="00B147E0">
        <w:rPr>
          <w:rFonts w:ascii="Verdana" w:hAnsi="Verdana"/>
          <w:b/>
          <w:bCs/>
        </w:rPr>
        <w:t>Conditions and Obligations</w:t>
      </w:r>
    </w:p>
    <w:p w14:paraId="046636CF" w14:textId="77777777" w:rsidR="00562182" w:rsidRPr="00B147E0" w:rsidRDefault="00562182" w:rsidP="00562182">
      <w:pPr>
        <w:pStyle w:val="ListParagraph"/>
        <w:rPr>
          <w:rFonts w:ascii="Verdana" w:hAnsi="Verdana"/>
        </w:rPr>
      </w:pPr>
    </w:p>
    <w:p w14:paraId="605164C3" w14:textId="584E2D78" w:rsidR="00562182" w:rsidRDefault="00562182" w:rsidP="00562182">
      <w:pPr>
        <w:pStyle w:val="ListParagraph"/>
        <w:numPr>
          <w:ilvl w:val="0"/>
          <w:numId w:val="1"/>
        </w:numPr>
        <w:rPr>
          <w:rFonts w:ascii="Verdana" w:hAnsi="Verdana"/>
        </w:rPr>
      </w:pPr>
      <w:r>
        <w:rPr>
          <w:rFonts w:ascii="Verdana" w:hAnsi="Verdana"/>
        </w:rPr>
        <w:t>The Inspector requested that a list of suggested conditions should form part of the final</w:t>
      </w:r>
      <w:r w:rsidR="00012C2C">
        <w:rPr>
          <w:rFonts w:ascii="Verdana" w:hAnsi="Verdana"/>
        </w:rPr>
        <w:t xml:space="preserve"> (or specific)</w:t>
      </w:r>
      <w:r>
        <w:rPr>
          <w:rFonts w:ascii="Verdana" w:hAnsi="Verdana"/>
        </w:rPr>
        <w:t xml:space="preserve"> </w:t>
      </w:r>
      <w:proofErr w:type="spellStart"/>
      <w:r>
        <w:rPr>
          <w:rFonts w:ascii="Verdana" w:hAnsi="Verdana"/>
        </w:rPr>
        <w:t>SoCG</w:t>
      </w:r>
      <w:proofErr w:type="spellEnd"/>
      <w:r>
        <w:rPr>
          <w:rFonts w:ascii="Verdana" w:hAnsi="Verdana"/>
        </w:rPr>
        <w:t xml:space="preserve"> </w:t>
      </w:r>
      <w:r w:rsidR="00985A88">
        <w:rPr>
          <w:rFonts w:ascii="Verdana" w:hAnsi="Verdana"/>
        </w:rPr>
        <w:t xml:space="preserve">clearly identifying </w:t>
      </w:r>
      <w:r>
        <w:rPr>
          <w:rFonts w:ascii="Verdana" w:hAnsi="Verdana"/>
        </w:rPr>
        <w:t xml:space="preserve">any disputed conditions, arising from the </w:t>
      </w:r>
      <w:r w:rsidR="00F97C11">
        <w:rPr>
          <w:rFonts w:ascii="Verdana" w:hAnsi="Verdana"/>
        </w:rPr>
        <w:t xml:space="preserve">either the </w:t>
      </w:r>
      <w:r>
        <w:rPr>
          <w:rFonts w:ascii="Verdana" w:hAnsi="Verdana"/>
        </w:rPr>
        <w:t>need for them or their precise wording.</w:t>
      </w:r>
      <w:r w:rsidRPr="00F3763B">
        <w:rPr>
          <w:rFonts w:ascii="Verdana" w:hAnsi="Verdana"/>
        </w:rPr>
        <w:t xml:space="preserve"> </w:t>
      </w:r>
      <w:r w:rsidR="00F97C11">
        <w:rPr>
          <w:rFonts w:ascii="Verdana" w:hAnsi="Verdana"/>
        </w:rPr>
        <w:t xml:space="preserve">She </w:t>
      </w:r>
      <w:r w:rsidR="00D20DD9">
        <w:rPr>
          <w:rFonts w:ascii="Verdana" w:hAnsi="Verdana"/>
        </w:rPr>
        <w:t xml:space="preserve">asks that consideration is given to </w:t>
      </w:r>
      <w:r w:rsidR="007674D1">
        <w:rPr>
          <w:rFonts w:ascii="Verdana" w:hAnsi="Verdana"/>
        </w:rPr>
        <w:t xml:space="preserve">all suggested </w:t>
      </w:r>
      <w:r w:rsidR="00D20DD9">
        <w:rPr>
          <w:rFonts w:ascii="Verdana" w:hAnsi="Verdana"/>
        </w:rPr>
        <w:t>conditions</w:t>
      </w:r>
      <w:r w:rsidR="007674D1">
        <w:rPr>
          <w:rFonts w:ascii="Verdana" w:hAnsi="Verdana"/>
        </w:rPr>
        <w:t xml:space="preserve">, </w:t>
      </w:r>
      <w:r>
        <w:rPr>
          <w:rFonts w:ascii="Verdana" w:hAnsi="Verdana"/>
        </w:rPr>
        <w:t>ensur</w:t>
      </w:r>
      <w:r w:rsidR="007674D1">
        <w:rPr>
          <w:rFonts w:ascii="Verdana" w:hAnsi="Verdana"/>
        </w:rPr>
        <w:t>ing</w:t>
      </w:r>
      <w:r>
        <w:rPr>
          <w:rFonts w:ascii="Verdana" w:hAnsi="Verdana"/>
        </w:rPr>
        <w:t xml:space="preserve"> that are adequately justified having regard to the relevant tests.</w:t>
      </w:r>
    </w:p>
    <w:p w14:paraId="2D936435" w14:textId="77777777" w:rsidR="00562182" w:rsidRDefault="00562182" w:rsidP="00562182">
      <w:pPr>
        <w:pStyle w:val="ListParagraph"/>
        <w:ind w:left="360"/>
        <w:rPr>
          <w:rFonts w:ascii="Verdana" w:hAnsi="Verdana"/>
        </w:rPr>
      </w:pPr>
    </w:p>
    <w:p w14:paraId="0A781727" w14:textId="3488F4A8" w:rsidR="00562182" w:rsidRDefault="00562182" w:rsidP="00562182">
      <w:pPr>
        <w:pStyle w:val="ListParagraph"/>
        <w:numPr>
          <w:ilvl w:val="0"/>
          <w:numId w:val="1"/>
        </w:numPr>
        <w:rPr>
          <w:rFonts w:ascii="Verdana" w:hAnsi="Verdana"/>
        </w:rPr>
      </w:pPr>
      <w:r>
        <w:rPr>
          <w:rFonts w:ascii="Verdana" w:hAnsi="Verdana"/>
        </w:rPr>
        <w:t xml:space="preserve">The main parties confirmed that it is the intention to have a planning obligation agreed in accordance with the timetable. A schedule of likely matters to be included in the agreement is set out in the draft </w:t>
      </w:r>
      <w:proofErr w:type="spellStart"/>
      <w:r>
        <w:rPr>
          <w:rFonts w:ascii="Verdana" w:hAnsi="Verdana"/>
        </w:rPr>
        <w:t>SoCG</w:t>
      </w:r>
      <w:proofErr w:type="spellEnd"/>
      <w:r>
        <w:rPr>
          <w:rFonts w:ascii="Verdana" w:hAnsi="Verdana"/>
        </w:rPr>
        <w:t xml:space="preserve">. </w:t>
      </w:r>
      <w:r w:rsidR="00BD294B">
        <w:rPr>
          <w:rFonts w:ascii="Verdana" w:hAnsi="Verdana"/>
        </w:rPr>
        <w:t>The purpose of the obligation is to</w:t>
      </w:r>
      <w:r w:rsidR="004376E9">
        <w:rPr>
          <w:rFonts w:ascii="Verdana" w:hAnsi="Verdana"/>
        </w:rPr>
        <w:t xml:space="preserve"> mitigate the effects of the development and</w:t>
      </w:r>
      <w:r w:rsidR="00BD294B">
        <w:rPr>
          <w:rFonts w:ascii="Verdana" w:hAnsi="Verdana"/>
        </w:rPr>
        <w:t xml:space="preserve"> address the matters indicated</w:t>
      </w:r>
      <w:r w:rsidR="004376E9">
        <w:rPr>
          <w:rFonts w:ascii="Verdana" w:hAnsi="Verdana"/>
        </w:rPr>
        <w:t xml:space="preserve"> within the Council’s second reason for refusal. </w:t>
      </w:r>
      <w:r w:rsidRPr="00F3763B">
        <w:rPr>
          <w:rFonts w:ascii="Verdana" w:hAnsi="Verdana"/>
        </w:rPr>
        <w:t xml:space="preserve">The final draft must be accompanied by a CIL Compliance Statement prepared by the Council. That statement is to set out a fully detailed justification for each obligation sought, </w:t>
      </w:r>
      <w:r w:rsidR="001F4FE2">
        <w:rPr>
          <w:rFonts w:ascii="Verdana" w:hAnsi="Verdana"/>
        </w:rPr>
        <w:t>its</w:t>
      </w:r>
      <w:r w:rsidRPr="00F3763B">
        <w:rPr>
          <w:rFonts w:ascii="Verdana" w:hAnsi="Verdana"/>
        </w:rPr>
        <w:t xml:space="preserve"> compli</w:t>
      </w:r>
      <w:r w:rsidR="001F4FE2">
        <w:rPr>
          <w:rFonts w:ascii="Verdana" w:hAnsi="Verdana"/>
        </w:rPr>
        <w:t>ance</w:t>
      </w:r>
      <w:r w:rsidRPr="00F3763B">
        <w:rPr>
          <w:rFonts w:ascii="Verdana" w:hAnsi="Verdana"/>
        </w:rPr>
        <w:t xml:space="preserve"> with the CIL Regulations</w:t>
      </w:r>
      <w:r w:rsidR="000C7004">
        <w:rPr>
          <w:rFonts w:ascii="Verdana" w:hAnsi="Verdana"/>
        </w:rPr>
        <w:t xml:space="preserve"> and </w:t>
      </w:r>
      <w:r w:rsidRPr="00F3763B">
        <w:rPr>
          <w:rFonts w:ascii="Verdana" w:hAnsi="Verdana"/>
        </w:rPr>
        <w:t>the test of necessity</w:t>
      </w:r>
      <w:r w:rsidR="00470E91">
        <w:rPr>
          <w:rFonts w:ascii="Verdana" w:hAnsi="Verdana"/>
        </w:rPr>
        <w:t xml:space="preserve">, demonstrating </w:t>
      </w:r>
      <w:r w:rsidRPr="00F3763B">
        <w:rPr>
          <w:rFonts w:ascii="Verdana" w:hAnsi="Verdana"/>
        </w:rPr>
        <w:t xml:space="preserve">how it would mitigate a particular harm arising out of the development proposed. It should include reference to any policy support and, in relation to any financial contribution, exactly how it has been calculated and on precisely what it would be spent. </w:t>
      </w:r>
    </w:p>
    <w:p w14:paraId="2B5E0FD0" w14:textId="77777777" w:rsidR="00562182" w:rsidRPr="00562182" w:rsidRDefault="00562182" w:rsidP="00562182">
      <w:pPr>
        <w:pStyle w:val="ListParagraph"/>
        <w:rPr>
          <w:rFonts w:ascii="Verdana" w:hAnsi="Verdana"/>
        </w:rPr>
      </w:pPr>
    </w:p>
    <w:p w14:paraId="74F63AE3" w14:textId="77777777" w:rsidR="009763F0" w:rsidRPr="00081BB2" w:rsidRDefault="009763F0" w:rsidP="009763F0">
      <w:pPr>
        <w:pStyle w:val="ListParagraph"/>
        <w:ind w:left="360"/>
        <w:rPr>
          <w:rFonts w:ascii="Verdana" w:hAnsi="Verdana"/>
          <w:b/>
          <w:bCs/>
        </w:rPr>
      </w:pPr>
      <w:r w:rsidRPr="00081BB2">
        <w:rPr>
          <w:rFonts w:ascii="Verdana" w:hAnsi="Verdana"/>
          <w:b/>
          <w:bCs/>
        </w:rPr>
        <w:t>Inquiry Running Order</w:t>
      </w:r>
    </w:p>
    <w:p w14:paraId="253DFE8B" w14:textId="77777777" w:rsidR="009763F0" w:rsidRPr="00081BB2" w:rsidRDefault="009763F0" w:rsidP="009763F0">
      <w:pPr>
        <w:pStyle w:val="ListParagraph"/>
        <w:rPr>
          <w:rFonts w:ascii="Verdana" w:hAnsi="Verdana"/>
        </w:rPr>
      </w:pPr>
    </w:p>
    <w:p w14:paraId="4858E7F3" w14:textId="21AD154E" w:rsidR="00954F1C" w:rsidRDefault="00AE2691" w:rsidP="009763F0">
      <w:pPr>
        <w:pStyle w:val="ListParagraph"/>
        <w:numPr>
          <w:ilvl w:val="0"/>
          <w:numId w:val="1"/>
        </w:numPr>
        <w:rPr>
          <w:rFonts w:ascii="Verdana" w:hAnsi="Verdana"/>
        </w:rPr>
      </w:pPr>
      <w:r>
        <w:rPr>
          <w:rFonts w:ascii="Verdana" w:hAnsi="Verdana"/>
        </w:rPr>
        <w:t>In the light of all the above</w:t>
      </w:r>
      <w:r w:rsidR="00127982">
        <w:rPr>
          <w:rFonts w:ascii="Verdana" w:hAnsi="Verdana"/>
        </w:rPr>
        <w:t>,</w:t>
      </w:r>
      <w:r>
        <w:rPr>
          <w:rFonts w:ascii="Verdana" w:hAnsi="Verdana"/>
        </w:rPr>
        <w:t xml:space="preserve"> a </w:t>
      </w:r>
      <w:r w:rsidR="00485B51">
        <w:rPr>
          <w:rFonts w:ascii="Verdana" w:hAnsi="Verdana"/>
        </w:rPr>
        <w:t xml:space="preserve">provisional </w:t>
      </w:r>
      <w:r w:rsidR="00F566FB">
        <w:rPr>
          <w:rFonts w:ascii="Verdana" w:hAnsi="Verdana"/>
        </w:rPr>
        <w:t>running order for the Inquiry was discussed at the CMC</w:t>
      </w:r>
      <w:r w:rsidR="00AD0031">
        <w:rPr>
          <w:rFonts w:ascii="Verdana" w:hAnsi="Verdana"/>
        </w:rPr>
        <w:t xml:space="preserve">. The </w:t>
      </w:r>
      <w:r w:rsidR="00C94D6E">
        <w:rPr>
          <w:rFonts w:ascii="Verdana" w:hAnsi="Verdana"/>
        </w:rPr>
        <w:t xml:space="preserve">parties </w:t>
      </w:r>
      <w:r w:rsidR="00AD0031">
        <w:rPr>
          <w:rFonts w:ascii="Verdana" w:hAnsi="Verdana"/>
        </w:rPr>
        <w:t xml:space="preserve">are requested to </w:t>
      </w:r>
      <w:r w:rsidR="00C94D6E">
        <w:rPr>
          <w:rFonts w:ascii="Verdana" w:hAnsi="Verdana"/>
        </w:rPr>
        <w:t xml:space="preserve">consider </w:t>
      </w:r>
      <w:r w:rsidR="00797218">
        <w:rPr>
          <w:rFonts w:ascii="Verdana" w:hAnsi="Verdana"/>
        </w:rPr>
        <w:t xml:space="preserve">and </w:t>
      </w:r>
      <w:r w:rsidR="00C94D6E">
        <w:rPr>
          <w:rFonts w:ascii="Verdana" w:hAnsi="Verdana"/>
        </w:rPr>
        <w:t>prepar</w:t>
      </w:r>
      <w:r w:rsidR="00797218">
        <w:rPr>
          <w:rFonts w:ascii="Verdana" w:hAnsi="Verdana"/>
        </w:rPr>
        <w:t>e</w:t>
      </w:r>
      <w:r w:rsidR="00C94D6E">
        <w:rPr>
          <w:rFonts w:ascii="Verdana" w:hAnsi="Verdana"/>
        </w:rPr>
        <w:t xml:space="preserve"> a </w:t>
      </w:r>
      <w:r w:rsidR="00954F1C">
        <w:rPr>
          <w:rFonts w:ascii="Verdana" w:hAnsi="Verdana"/>
        </w:rPr>
        <w:t xml:space="preserve">more </w:t>
      </w:r>
      <w:r w:rsidR="00C94D6E">
        <w:rPr>
          <w:rFonts w:ascii="Verdana" w:hAnsi="Verdana"/>
        </w:rPr>
        <w:t>detailed programme</w:t>
      </w:r>
      <w:r w:rsidR="00B86932">
        <w:rPr>
          <w:rFonts w:ascii="Verdana" w:hAnsi="Verdana"/>
        </w:rPr>
        <w:t xml:space="preserve"> for the Inspector’s consideration and agreement</w:t>
      </w:r>
      <w:r w:rsidR="00E712E6">
        <w:rPr>
          <w:rFonts w:ascii="Verdana" w:hAnsi="Verdana"/>
        </w:rPr>
        <w:t xml:space="preserve"> which can be made </w:t>
      </w:r>
      <w:r w:rsidR="000B4B3D">
        <w:rPr>
          <w:rFonts w:ascii="Verdana" w:hAnsi="Verdana"/>
        </w:rPr>
        <w:t xml:space="preserve">publicly </w:t>
      </w:r>
      <w:r w:rsidR="00E712E6">
        <w:rPr>
          <w:rFonts w:ascii="Verdana" w:hAnsi="Verdana"/>
        </w:rPr>
        <w:t>available before the Inquiry begins</w:t>
      </w:r>
      <w:r w:rsidR="00C94D6E">
        <w:rPr>
          <w:rFonts w:ascii="Verdana" w:hAnsi="Verdana"/>
        </w:rPr>
        <w:t xml:space="preserve">. </w:t>
      </w:r>
      <w:r>
        <w:rPr>
          <w:rFonts w:ascii="Verdana" w:hAnsi="Verdana"/>
        </w:rPr>
        <w:t xml:space="preserve"> </w:t>
      </w:r>
    </w:p>
    <w:p w14:paraId="153685C6" w14:textId="77777777" w:rsidR="00954F1C" w:rsidRDefault="00954F1C" w:rsidP="00954F1C">
      <w:pPr>
        <w:pStyle w:val="ListParagraph"/>
        <w:ind w:left="360"/>
        <w:rPr>
          <w:rFonts w:ascii="Verdana" w:hAnsi="Verdana"/>
        </w:rPr>
      </w:pPr>
    </w:p>
    <w:p w14:paraId="565AD982" w14:textId="7682FD5E" w:rsidR="009763F0" w:rsidRDefault="009763F0" w:rsidP="009763F0">
      <w:pPr>
        <w:pStyle w:val="ListParagraph"/>
        <w:numPr>
          <w:ilvl w:val="0"/>
          <w:numId w:val="1"/>
        </w:numPr>
        <w:rPr>
          <w:rFonts w:ascii="Verdana" w:hAnsi="Verdana"/>
        </w:rPr>
      </w:pPr>
      <w:r>
        <w:rPr>
          <w:rFonts w:ascii="Verdana" w:hAnsi="Verdana"/>
        </w:rPr>
        <w:t xml:space="preserve">Following the Inspector’s opening comments on the first day, the main parties will be invited to set the scene by presenting opening statements (first the appellant, followed by the Council and </w:t>
      </w:r>
      <w:r w:rsidR="000C1AAC">
        <w:rPr>
          <w:rFonts w:ascii="Verdana" w:hAnsi="Verdana"/>
        </w:rPr>
        <w:t xml:space="preserve">CHPC </w:t>
      </w:r>
      <w:r>
        <w:rPr>
          <w:rFonts w:ascii="Verdana" w:hAnsi="Verdana"/>
        </w:rPr>
        <w:t xml:space="preserve">as the R6 party). </w:t>
      </w:r>
      <w:r w:rsidR="004D27E7">
        <w:rPr>
          <w:rFonts w:ascii="Verdana" w:hAnsi="Verdana"/>
        </w:rPr>
        <w:t>I</w:t>
      </w:r>
      <w:r>
        <w:rPr>
          <w:rFonts w:ascii="Verdana" w:hAnsi="Verdana"/>
        </w:rPr>
        <w:t>nterested parties</w:t>
      </w:r>
      <w:r w:rsidR="004D27E7">
        <w:rPr>
          <w:rFonts w:ascii="Verdana" w:hAnsi="Verdana"/>
        </w:rPr>
        <w:t xml:space="preserve"> will then be given an</w:t>
      </w:r>
      <w:r>
        <w:rPr>
          <w:rFonts w:ascii="Verdana" w:hAnsi="Verdana"/>
        </w:rPr>
        <w:t xml:space="preserve"> opportunity to present their points. The CHPC confirmed that they will work with their community to ensure that this is done appropriately and in a way that </w:t>
      </w:r>
      <w:r w:rsidR="008D47C6">
        <w:rPr>
          <w:rFonts w:ascii="Verdana" w:hAnsi="Verdana"/>
        </w:rPr>
        <w:t xml:space="preserve">avoids unnecessary </w:t>
      </w:r>
      <w:r>
        <w:rPr>
          <w:rFonts w:ascii="Verdana" w:hAnsi="Verdana"/>
        </w:rPr>
        <w:t>repetition. As an initial estimate</w:t>
      </w:r>
      <w:r w:rsidR="00970015">
        <w:rPr>
          <w:rFonts w:ascii="Verdana" w:hAnsi="Verdana"/>
        </w:rPr>
        <w:t>,</w:t>
      </w:r>
      <w:r>
        <w:rPr>
          <w:rFonts w:ascii="Verdana" w:hAnsi="Verdana"/>
        </w:rPr>
        <w:t xml:space="preserve"> it is thought that 6 or so interested people would wish to make representations. Experience from previous inquiries suggests that these could be heard in the morning sessions. This would enable</w:t>
      </w:r>
      <w:r w:rsidR="0085268B">
        <w:rPr>
          <w:rFonts w:ascii="Verdana" w:hAnsi="Verdana"/>
        </w:rPr>
        <w:t xml:space="preserve"> most or all of</w:t>
      </w:r>
      <w:r>
        <w:rPr>
          <w:rFonts w:ascii="Verdana" w:hAnsi="Verdana"/>
        </w:rPr>
        <w:t xml:space="preserve"> the </w:t>
      </w:r>
      <w:r w:rsidR="0085268B">
        <w:rPr>
          <w:rFonts w:ascii="Verdana" w:hAnsi="Verdana"/>
        </w:rPr>
        <w:t xml:space="preserve">first </w:t>
      </w:r>
      <w:r>
        <w:rPr>
          <w:rFonts w:ascii="Verdana" w:hAnsi="Verdana"/>
        </w:rPr>
        <w:t>afternoon to be used for starting the round table sessions.</w:t>
      </w:r>
    </w:p>
    <w:p w14:paraId="76574736" w14:textId="77777777" w:rsidR="009763F0" w:rsidRDefault="009763F0" w:rsidP="009763F0">
      <w:pPr>
        <w:pStyle w:val="ListParagraph"/>
        <w:ind w:left="360"/>
        <w:rPr>
          <w:rFonts w:ascii="Verdana" w:hAnsi="Verdana"/>
        </w:rPr>
      </w:pPr>
    </w:p>
    <w:p w14:paraId="0D53CD8B" w14:textId="77777777" w:rsidR="009763F0" w:rsidRPr="00081BB2" w:rsidRDefault="009763F0" w:rsidP="009763F0">
      <w:pPr>
        <w:pStyle w:val="ListParagraph"/>
        <w:numPr>
          <w:ilvl w:val="0"/>
          <w:numId w:val="1"/>
        </w:numPr>
        <w:rPr>
          <w:rFonts w:ascii="Verdana" w:hAnsi="Verdana"/>
        </w:rPr>
      </w:pPr>
      <w:r w:rsidRPr="00081BB2">
        <w:rPr>
          <w:rFonts w:ascii="Verdana" w:hAnsi="Verdana"/>
        </w:rPr>
        <w:lastRenderedPageBreak/>
        <w:t>The Inspector will lead the</w:t>
      </w:r>
      <w:r>
        <w:rPr>
          <w:rFonts w:ascii="Verdana" w:hAnsi="Verdana"/>
        </w:rPr>
        <w:t xml:space="preserve"> round table s</w:t>
      </w:r>
      <w:r w:rsidRPr="00081BB2">
        <w:rPr>
          <w:rFonts w:ascii="Verdana" w:hAnsi="Verdana"/>
        </w:rPr>
        <w:t xml:space="preserve">essions, based on the written evidence (especially any associated </w:t>
      </w:r>
      <w:proofErr w:type="spellStart"/>
      <w:r w:rsidRPr="00081BB2">
        <w:rPr>
          <w:rFonts w:ascii="Verdana" w:hAnsi="Verdana"/>
        </w:rPr>
        <w:t>SoCG</w:t>
      </w:r>
      <w:proofErr w:type="spellEnd"/>
      <w:r w:rsidRPr="00081BB2">
        <w:rPr>
          <w:rFonts w:ascii="Verdana" w:hAnsi="Verdana"/>
        </w:rPr>
        <w:t xml:space="preserve">) and any additional representations/ statements provided in accordance with the agreed timetable. The main parties also agreed to prepare draft agendas on these topics for the Inspector to consider. </w:t>
      </w:r>
    </w:p>
    <w:p w14:paraId="630108C3" w14:textId="77777777" w:rsidR="009763F0" w:rsidRPr="00081BB2" w:rsidRDefault="009763F0" w:rsidP="009763F0">
      <w:pPr>
        <w:pStyle w:val="ListParagraph"/>
        <w:rPr>
          <w:rFonts w:ascii="Verdana" w:hAnsi="Verdana"/>
        </w:rPr>
      </w:pPr>
    </w:p>
    <w:p w14:paraId="55AE5D10" w14:textId="2E661B3C" w:rsidR="00090FB4" w:rsidRDefault="009763F0" w:rsidP="009763F0">
      <w:pPr>
        <w:pStyle w:val="ListParagraph"/>
        <w:numPr>
          <w:ilvl w:val="0"/>
          <w:numId w:val="1"/>
        </w:numPr>
        <w:rPr>
          <w:rFonts w:ascii="Verdana" w:hAnsi="Verdana"/>
        </w:rPr>
      </w:pPr>
      <w:r>
        <w:rPr>
          <w:rFonts w:ascii="Verdana" w:hAnsi="Verdana"/>
        </w:rPr>
        <w:t>Due to the availability of witnesses, it was suggested that the round table sessions would start with heritage, followed by transport/</w:t>
      </w:r>
      <w:r w:rsidR="007F3F75">
        <w:rPr>
          <w:rFonts w:ascii="Verdana" w:hAnsi="Verdana"/>
        </w:rPr>
        <w:t>highways/</w:t>
      </w:r>
      <w:r w:rsidR="00FC1D88">
        <w:rPr>
          <w:rFonts w:ascii="Verdana" w:hAnsi="Verdana"/>
        </w:rPr>
        <w:t xml:space="preserve"> </w:t>
      </w:r>
      <w:r>
        <w:rPr>
          <w:rFonts w:ascii="Verdana" w:hAnsi="Verdana"/>
        </w:rPr>
        <w:t xml:space="preserve">accessibility related matters. It is anticipated that this would enable these, and landscape character and appearance, to be addressed and concluded by the end of the second day. </w:t>
      </w:r>
    </w:p>
    <w:p w14:paraId="1D35176A" w14:textId="77777777" w:rsidR="00090FB4" w:rsidRPr="00090FB4" w:rsidRDefault="00090FB4" w:rsidP="00090FB4">
      <w:pPr>
        <w:pStyle w:val="ListParagraph"/>
        <w:rPr>
          <w:rFonts w:ascii="Verdana" w:hAnsi="Verdana"/>
        </w:rPr>
      </w:pPr>
    </w:p>
    <w:p w14:paraId="5E305D8D" w14:textId="05F16824" w:rsidR="009763F0" w:rsidRPr="00F702FC" w:rsidRDefault="009763F0" w:rsidP="00F702FC">
      <w:pPr>
        <w:pStyle w:val="ListParagraph"/>
        <w:numPr>
          <w:ilvl w:val="0"/>
          <w:numId w:val="1"/>
        </w:numPr>
        <w:rPr>
          <w:rFonts w:ascii="Verdana" w:hAnsi="Verdana"/>
        </w:rPr>
      </w:pPr>
      <w:r w:rsidRPr="00081BB2">
        <w:rPr>
          <w:rFonts w:ascii="Verdana" w:hAnsi="Verdana"/>
        </w:rPr>
        <w:t xml:space="preserve">Green Belt and all other planning related matters would then be addressed in the normal running order with </w:t>
      </w:r>
      <w:r>
        <w:rPr>
          <w:rFonts w:ascii="Verdana" w:hAnsi="Verdana"/>
        </w:rPr>
        <w:t>presentation of evidence</w:t>
      </w:r>
      <w:r w:rsidR="00E640B2">
        <w:rPr>
          <w:rFonts w:ascii="Verdana" w:hAnsi="Verdana"/>
        </w:rPr>
        <w:t>-</w:t>
      </w:r>
      <w:r>
        <w:rPr>
          <w:rFonts w:ascii="Verdana" w:hAnsi="Verdana"/>
        </w:rPr>
        <w:t>in</w:t>
      </w:r>
      <w:r w:rsidR="00E640B2">
        <w:rPr>
          <w:rFonts w:ascii="Verdana" w:hAnsi="Verdana"/>
        </w:rPr>
        <w:t>-</w:t>
      </w:r>
      <w:r>
        <w:rPr>
          <w:rFonts w:ascii="Verdana" w:hAnsi="Verdana"/>
        </w:rPr>
        <w:t>chief followed by cross-examination and re-examination. T</w:t>
      </w:r>
      <w:r w:rsidRPr="00081BB2">
        <w:rPr>
          <w:rFonts w:ascii="Verdana" w:hAnsi="Verdana"/>
        </w:rPr>
        <w:t xml:space="preserve">he Council </w:t>
      </w:r>
      <w:r>
        <w:rPr>
          <w:rFonts w:ascii="Verdana" w:hAnsi="Verdana"/>
        </w:rPr>
        <w:t xml:space="preserve">would present </w:t>
      </w:r>
      <w:r w:rsidRPr="00081BB2">
        <w:rPr>
          <w:rFonts w:ascii="Verdana" w:hAnsi="Verdana"/>
        </w:rPr>
        <w:t xml:space="preserve">first, </w:t>
      </w:r>
      <w:r>
        <w:rPr>
          <w:rFonts w:ascii="Verdana" w:hAnsi="Verdana"/>
        </w:rPr>
        <w:t>followed</w:t>
      </w:r>
      <w:r w:rsidRPr="00081BB2">
        <w:rPr>
          <w:rFonts w:ascii="Verdana" w:hAnsi="Verdana"/>
        </w:rPr>
        <w:t xml:space="preserve"> </w:t>
      </w:r>
      <w:r>
        <w:rPr>
          <w:rFonts w:ascii="Verdana" w:hAnsi="Verdana"/>
        </w:rPr>
        <w:t xml:space="preserve">by </w:t>
      </w:r>
      <w:r w:rsidRPr="00081BB2">
        <w:rPr>
          <w:rFonts w:ascii="Verdana" w:hAnsi="Verdana"/>
        </w:rPr>
        <w:t>the Parish Council and the</w:t>
      </w:r>
      <w:r>
        <w:rPr>
          <w:rFonts w:ascii="Verdana" w:hAnsi="Verdana"/>
        </w:rPr>
        <w:t>n the</w:t>
      </w:r>
      <w:r w:rsidRPr="00081BB2">
        <w:rPr>
          <w:rFonts w:ascii="Verdana" w:hAnsi="Verdana"/>
        </w:rPr>
        <w:t xml:space="preserve"> </w:t>
      </w:r>
      <w:r>
        <w:rPr>
          <w:rFonts w:ascii="Verdana" w:hAnsi="Verdana"/>
        </w:rPr>
        <w:t>A</w:t>
      </w:r>
      <w:r w:rsidRPr="00081BB2">
        <w:rPr>
          <w:rFonts w:ascii="Verdana" w:hAnsi="Verdana"/>
        </w:rPr>
        <w:t>ppellant</w:t>
      </w:r>
      <w:r>
        <w:rPr>
          <w:rFonts w:ascii="Verdana" w:hAnsi="Verdana"/>
        </w:rPr>
        <w:t>.</w:t>
      </w:r>
      <w:r w:rsidRPr="00081BB2">
        <w:rPr>
          <w:rFonts w:ascii="Verdana" w:hAnsi="Verdana"/>
        </w:rPr>
        <w:t xml:space="preserve"> </w:t>
      </w:r>
      <w:r w:rsidR="00FE135B">
        <w:rPr>
          <w:rFonts w:ascii="Verdana" w:hAnsi="Verdana"/>
        </w:rPr>
        <w:t xml:space="preserve">The Appellant indicated </w:t>
      </w:r>
      <w:r w:rsidR="00A054AB">
        <w:rPr>
          <w:rFonts w:ascii="Verdana" w:hAnsi="Verdana"/>
        </w:rPr>
        <w:t xml:space="preserve">an intention </w:t>
      </w:r>
      <w:r w:rsidR="00D335DD">
        <w:rPr>
          <w:rFonts w:ascii="Verdana" w:hAnsi="Verdana"/>
        </w:rPr>
        <w:t xml:space="preserve">to provide specific evidence in respect of affordable housing. </w:t>
      </w:r>
      <w:r w:rsidR="004168FE">
        <w:rPr>
          <w:rFonts w:ascii="Verdana" w:hAnsi="Verdana"/>
        </w:rPr>
        <w:t>It is</w:t>
      </w:r>
      <w:r w:rsidR="00090FB4">
        <w:rPr>
          <w:rFonts w:ascii="Verdana" w:hAnsi="Verdana"/>
        </w:rPr>
        <w:t xml:space="preserve"> anticipated</w:t>
      </w:r>
      <w:r w:rsidR="004168FE">
        <w:rPr>
          <w:rFonts w:ascii="Verdana" w:hAnsi="Verdana"/>
        </w:rPr>
        <w:t xml:space="preserve"> that hearing evidence in this way would </w:t>
      </w:r>
      <w:r w:rsidR="00656C9A">
        <w:rPr>
          <w:rFonts w:ascii="Verdana" w:hAnsi="Verdana"/>
        </w:rPr>
        <w:t xml:space="preserve">occupy </w:t>
      </w:r>
      <w:r w:rsidR="00C95818" w:rsidRPr="00081BB2">
        <w:rPr>
          <w:rFonts w:ascii="Verdana" w:hAnsi="Verdana"/>
        </w:rPr>
        <w:t>the third and fourth days</w:t>
      </w:r>
      <w:r w:rsidR="00F06904">
        <w:rPr>
          <w:rFonts w:ascii="Verdana" w:hAnsi="Verdana"/>
        </w:rPr>
        <w:t xml:space="preserve">, </w:t>
      </w:r>
      <w:r w:rsidRPr="00F702FC">
        <w:rPr>
          <w:rFonts w:ascii="Verdana" w:hAnsi="Verdana"/>
        </w:rPr>
        <w:t>enabl</w:t>
      </w:r>
      <w:r w:rsidR="00F06904">
        <w:rPr>
          <w:rFonts w:ascii="Verdana" w:hAnsi="Verdana"/>
        </w:rPr>
        <w:t>ing</w:t>
      </w:r>
      <w:r w:rsidRPr="00F702FC">
        <w:rPr>
          <w:rFonts w:ascii="Verdana" w:hAnsi="Verdana"/>
        </w:rPr>
        <w:t xml:space="preserve"> the sessions on conditions and obligations to be held virtually as round table discussions in week 2. Closing submissions would also be heard virtually, the Inspector requested copies </w:t>
      </w:r>
      <w:r w:rsidR="00D1771A">
        <w:rPr>
          <w:rFonts w:ascii="Verdana" w:hAnsi="Verdana"/>
        </w:rPr>
        <w:t xml:space="preserve">of these </w:t>
      </w:r>
      <w:r w:rsidRPr="00F702FC">
        <w:rPr>
          <w:rFonts w:ascii="Verdana" w:hAnsi="Verdana"/>
        </w:rPr>
        <w:t>before their oral presentation.</w:t>
      </w:r>
    </w:p>
    <w:p w14:paraId="0081C75D" w14:textId="77777777" w:rsidR="009763F0" w:rsidRPr="004F3F6A" w:rsidRDefault="009763F0" w:rsidP="009763F0">
      <w:pPr>
        <w:pStyle w:val="ListParagraph"/>
        <w:rPr>
          <w:rFonts w:ascii="Verdana" w:hAnsi="Verdana"/>
        </w:rPr>
      </w:pPr>
    </w:p>
    <w:p w14:paraId="0DC9E5CC" w14:textId="2FDF5928" w:rsidR="009763F0" w:rsidRPr="00EC495B" w:rsidRDefault="009763F0" w:rsidP="009763F0">
      <w:pPr>
        <w:pStyle w:val="ListParagraph"/>
        <w:numPr>
          <w:ilvl w:val="0"/>
          <w:numId w:val="1"/>
        </w:numPr>
        <w:rPr>
          <w:rFonts w:ascii="Verdana" w:hAnsi="Verdana"/>
        </w:rPr>
      </w:pPr>
      <w:r>
        <w:rPr>
          <w:rFonts w:ascii="Verdana" w:hAnsi="Verdana"/>
        </w:rPr>
        <w:t>If it</w:t>
      </w:r>
      <w:r w:rsidR="00F06904">
        <w:rPr>
          <w:rFonts w:ascii="Verdana" w:hAnsi="Verdana"/>
        </w:rPr>
        <w:t xml:space="preserve"> proves im</w:t>
      </w:r>
      <w:r>
        <w:rPr>
          <w:rFonts w:ascii="Verdana" w:hAnsi="Verdana"/>
        </w:rPr>
        <w:t>possible to conclude the hearing of main evidence by the end of Friday 26 April, it may be necessary to reconvene in-person the following week. The Inspector therefore requested that the Council should indicate if and when the Council Chamber could be made available for a resumption of the Inquiry. She asks that this information should be made available as soon as possible.</w:t>
      </w:r>
    </w:p>
    <w:p w14:paraId="158180A1" w14:textId="77777777" w:rsidR="009763F0" w:rsidRPr="006F535D" w:rsidRDefault="009763F0" w:rsidP="009763F0">
      <w:pPr>
        <w:pStyle w:val="ListParagraph"/>
        <w:rPr>
          <w:rFonts w:ascii="Verdana" w:hAnsi="Verdana"/>
        </w:rPr>
      </w:pPr>
    </w:p>
    <w:p w14:paraId="24306456" w14:textId="77777777" w:rsidR="009763F0" w:rsidRDefault="009763F0" w:rsidP="009763F0">
      <w:pPr>
        <w:pStyle w:val="ListParagraph"/>
        <w:numPr>
          <w:ilvl w:val="0"/>
          <w:numId w:val="1"/>
        </w:numPr>
        <w:rPr>
          <w:rFonts w:ascii="Verdana" w:hAnsi="Verdana"/>
        </w:rPr>
      </w:pPr>
      <w:r>
        <w:rPr>
          <w:rFonts w:ascii="Verdana" w:hAnsi="Verdana"/>
        </w:rPr>
        <w:t>When the Inquiry is sitting in-person, it is expected to finish no later than around 17.00 hours and will resume at 09.30 on the following days, unless otherwise agreed. There will normally be 2 sessions in the morning and 2 in the afternoon, with short breaks between each and a 45-60 minute break at lunchtime. If it is possible to conclude a little earlier on either Wednesday or Thursday, it might be possible to conduct the accompanied site visit in the early evening. If not, this may have to be the subject of a return visit to the area at a time to be agreed towards the end of the Inquiry.</w:t>
      </w:r>
    </w:p>
    <w:p w14:paraId="6F861024" w14:textId="77777777" w:rsidR="009763F0" w:rsidRPr="004646D4" w:rsidRDefault="009763F0" w:rsidP="009763F0">
      <w:pPr>
        <w:pStyle w:val="ListParagraph"/>
        <w:rPr>
          <w:rFonts w:ascii="Verdana" w:hAnsi="Verdana"/>
        </w:rPr>
      </w:pPr>
    </w:p>
    <w:p w14:paraId="052635EC" w14:textId="77777777" w:rsidR="009763F0" w:rsidRDefault="009763F0" w:rsidP="009763F0">
      <w:pPr>
        <w:pStyle w:val="ListParagraph"/>
        <w:numPr>
          <w:ilvl w:val="0"/>
          <w:numId w:val="1"/>
        </w:numPr>
        <w:rPr>
          <w:rFonts w:ascii="Verdana" w:hAnsi="Verdana"/>
        </w:rPr>
      </w:pPr>
      <w:r>
        <w:rPr>
          <w:rFonts w:ascii="Verdana" w:hAnsi="Verdana"/>
        </w:rPr>
        <w:t xml:space="preserve">The Inspector indicated that she would like to undertake an unaccompanied site visit before the inquiry begins, which was fully supported by the parties. To that end she asked the main parties to prepare an itinerary and map showing places where she should be able to see the site from public land (roadside and footpaths). The CHPC requested that the timing of this visit should include observing the situation near the primary school at 15.00-15.30 at the end of the school day. </w:t>
      </w:r>
    </w:p>
    <w:p w14:paraId="1BE53A8D" w14:textId="77777777" w:rsidR="009763F0" w:rsidRPr="009763F0" w:rsidRDefault="009763F0" w:rsidP="009763F0">
      <w:pPr>
        <w:pStyle w:val="ListParagraph"/>
        <w:rPr>
          <w:rFonts w:ascii="Verdana" w:hAnsi="Verdana"/>
        </w:rPr>
      </w:pPr>
    </w:p>
    <w:p w14:paraId="1493520F" w14:textId="77777777" w:rsidR="007813E3" w:rsidRDefault="007813E3" w:rsidP="00AA0110">
      <w:pPr>
        <w:pStyle w:val="ListParagraph"/>
        <w:ind w:left="360"/>
        <w:rPr>
          <w:rFonts w:ascii="Verdana" w:hAnsi="Verdana"/>
          <w:b/>
          <w:bCs/>
        </w:rPr>
      </w:pPr>
    </w:p>
    <w:p w14:paraId="2ABFA02E" w14:textId="77777777" w:rsidR="00AA5949" w:rsidRDefault="00AA5949" w:rsidP="00AA0110">
      <w:pPr>
        <w:pStyle w:val="ListParagraph"/>
        <w:ind w:left="360"/>
        <w:rPr>
          <w:rFonts w:ascii="Verdana" w:hAnsi="Verdana"/>
          <w:b/>
          <w:bCs/>
        </w:rPr>
      </w:pPr>
      <w:r>
        <w:rPr>
          <w:rFonts w:ascii="Verdana" w:hAnsi="Verdana"/>
          <w:b/>
          <w:bCs/>
        </w:rPr>
        <w:br w:type="page"/>
      </w:r>
    </w:p>
    <w:p w14:paraId="48056B68" w14:textId="1AEA54B0" w:rsidR="00AA0110" w:rsidRPr="00AA0110" w:rsidRDefault="007F3251" w:rsidP="00AA0110">
      <w:pPr>
        <w:pStyle w:val="ListParagraph"/>
        <w:ind w:left="360"/>
        <w:rPr>
          <w:rFonts w:ascii="Verdana" w:hAnsi="Verdana"/>
          <w:b/>
          <w:bCs/>
        </w:rPr>
      </w:pPr>
      <w:r>
        <w:rPr>
          <w:rFonts w:ascii="Verdana" w:hAnsi="Verdana"/>
          <w:b/>
          <w:bCs/>
        </w:rPr>
        <w:lastRenderedPageBreak/>
        <w:t xml:space="preserve">Document Submission </w:t>
      </w:r>
      <w:r w:rsidR="00AA0110" w:rsidRPr="00AA0110">
        <w:rPr>
          <w:rFonts w:ascii="Verdana" w:hAnsi="Verdana"/>
          <w:b/>
          <w:bCs/>
        </w:rPr>
        <w:t>Dates</w:t>
      </w:r>
    </w:p>
    <w:p w14:paraId="130156C8" w14:textId="77777777" w:rsidR="00AA0110" w:rsidRPr="00AA0110" w:rsidRDefault="00AA0110" w:rsidP="00AA0110">
      <w:pPr>
        <w:pStyle w:val="ListParagraph"/>
        <w:rPr>
          <w:rFonts w:ascii="Verdana" w:hAnsi="Verdana"/>
        </w:rPr>
      </w:pPr>
    </w:p>
    <w:p w14:paraId="2A52F3CA" w14:textId="69EE1367" w:rsidR="00376A0F" w:rsidRPr="00220983" w:rsidRDefault="00AA0110" w:rsidP="00220983">
      <w:pPr>
        <w:pStyle w:val="ListParagraph"/>
        <w:numPr>
          <w:ilvl w:val="0"/>
          <w:numId w:val="1"/>
        </w:numPr>
        <w:rPr>
          <w:rFonts w:ascii="Verdana" w:hAnsi="Verdana"/>
        </w:rPr>
      </w:pPr>
      <w:r>
        <w:rPr>
          <w:rFonts w:ascii="Verdana" w:hAnsi="Verdana"/>
        </w:rPr>
        <w:t xml:space="preserve">Inspector explained that she has asked for the proofs </w:t>
      </w:r>
      <w:r w:rsidR="004646D4">
        <w:rPr>
          <w:rFonts w:ascii="Verdana" w:hAnsi="Verdana"/>
        </w:rPr>
        <w:t xml:space="preserve">of evidence </w:t>
      </w:r>
      <w:r>
        <w:rPr>
          <w:rFonts w:ascii="Verdana" w:hAnsi="Verdana"/>
        </w:rPr>
        <w:t xml:space="preserve">a week in advance of the normal 4-week deadline due to her own availability. Although this presents some challenges for the parties, they agreed to do everything possible to comply with this request. </w:t>
      </w:r>
      <w:r w:rsidR="00F104C4">
        <w:rPr>
          <w:rFonts w:ascii="Verdana" w:hAnsi="Verdana"/>
        </w:rPr>
        <w:t xml:space="preserve">Guidance on the content and format of proofs is attached at Annex A. </w:t>
      </w:r>
      <w:r w:rsidRPr="00220983">
        <w:rPr>
          <w:rFonts w:ascii="Verdana" w:hAnsi="Verdana"/>
        </w:rPr>
        <w:t xml:space="preserve">The </w:t>
      </w:r>
      <w:r w:rsidR="000A6670" w:rsidRPr="00220983">
        <w:rPr>
          <w:rFonts w:ascii="Verdana" w:hAnsi="Verdana"/>
        </w:rPr>
        <w:t>following deadlines for the submission of documents w</w:t>
      </w:r>
      <w:r w:rsidR="00220983" w:rsidRPr="00220983">
        <w:rPr>
          <w:rFonts w:ascii="Verdana" w:hAnsi="Verdana"/>
        </w:rPr>
        <w:t>ere</w:t>
      </w:r>
      <w:r w:rsidR="000A6670" w:rsidRPr="00220983">
        <w:rPr>
          <w:rFonts w:ascii="Verdana" w:hAnsi="Verdana"/>
        </w:rPr>
        <w:t xml:space="preserve"> discussed.</w:t>
      </w:r>
    </w:p>
    <w:tbl>
      <w:tblPr>
        <w:tblStyle w:val="TableGrid"/>
        <w:tblW w:w="0" w:type="auto"/>
        <w:tblInd w:w="360" w:type="dxa"/>
        <w:tblLook w:val="04A0" w:firstRow="1" w:lastRow="0" w:firstColumn="1" w:lastColumn="0" w:noHBand="0" w:noVBand="1"/>
      </w:tblPr>
      <w:tblGrid>
        <w:gridCol w:w="2045"/>
        <w:gridCol w:w="6611"/>
      </w:tblGrid>
      <w:tr w:rsidR="000E0F58" w14:paraId="68D8E30D" w14:textId="77777777" w:rsidTr="000E0F58">
        <w:tc>
          <w:tcPr>
            <w:tcW w:w="2045" w:type="dxa"/>
          </w:tcPr>
          <w:p w14:paraId="71E5AFC8" w14:textId="6D542BDA" w:rsidR="000E0F58" w:rsidRPr="00357CD9" w:rsidRDefault="00865BE5" w:rsidP="00357CD9">
            <w:pPr>
              <w:jc w:val="center"/>
              <w:rPr>
                <w:rFonts w:ascii="Verdana" w:hAnsi="Verdana"/>
                <w:b/>
                <w:bCs/>
              </w:rPr>
            </w:pPr>
            <w:r w:rsidRPr="00357CD9">
              <w:rPr>
                <w:rFonts w:ascii="Verdana" w:hAnsi="Verdana"/>
                <w:b/>
                <w:bCs/>
              </w:rPr>
              <w:t>Date</w:t>
            </w:r>
          </w:p>
        </w:tc>
        <w:tc>
          <w:tcPr>
            <w:tcW w:w="6611" w:type="dxa"/>
          </w:tcPr>
          <w:p w14:paraId="13957C94" w14:textId="52BE7BBF" w:rsidR="000E0F58" w:rsidRPr="00357CD9" w:rsidRDefault="00865BE5" w:rsidP="00357CD9">
            <w:pPr>
              <w:jc w:val="center"/>
              <w:rPr>
                <w:rFonts w:ascii="Verdana" w:hAnsi="Verdana"/>
                <w:b/>
                <w:bCs/>
              </w:rPr>
            </w:pPr>
            <w:r w:rsidRPr="00357CD9">
              <w:rPr>
                <w:rFonts w:ascii="Verdana" w:hAnsi="Verdana"/>
                <w:b/>
                <w:bCs/>
              </w:rPr>
              <w:t>Documents</w:t>
            </w:r>
          </w:p>
        </w:tc>
      </w:tr>
      <w:tr w:rsidR="000E0F58" w14:paraId="0D51B23D" w14:textId="77777777" w:rsidTr="000E0F58">
        <w:tc>
          <w:tcPr>
            <w:tcW w:w="2045" w:type="dxa"/>
          </w:tcPr>
          <w:p w14:paraId="638B46C8" w14:textId="10D93166" w:rsidR="000E0F58" w:rsidRDefault="00865BE5" w:rsidP="000E0F58">
            <w:pPr>
              <w:rPr>
                <w:rFonts w:ascii="Verdana" w:hAnsi="Verdana"/>
              </w:rPr>
            </w:pPr>
            <w:r>
              <w:rPr>
                <w:rFonts w:ascii="Verdana" w:hAnsi="Verdana"/>
              </w:rPr>
              <w:t>11 March 2024</w:t>
            </w:r>
          </w:p>
        </w:tc>
        <w:tc>
          <w:tcPr>
            <w:tcW w:w="6611" w:type="dxa"/>
          </w:tcPr>
          <w:p w14:paraId="53A62BF8" w14:textId="02D56D48" w:rsidR="000E0F58" w:rsidRDefault="00865BE5" w:rsidP="000E0F58">
            <w:pPr>
              <w:rPr>
                <w:rFonts w:ascii="Verdana" w:hAnsi="Verdana"/>
              </w:rPr>
            </w:pPr>
            <w:r>
              <w:rPr>
                <w:rFonts w:ascii="Verdana" w:hAnsi="Verdana"/>
              </w:rPr>
              <w:t>Plan an</w:t>
            </w:r>
            <w:r w:rsidR="00E86279">
              <w:rPr>
                <w:rFonts w:ascii="Verdana" w:hAnsi="Verdana"/>
              </w:rPr>
              <w:t>d</w:t>
            </w:r>
            <w:r>
              <w:rPr>
                <w:rFonts w:ascii="Verdana" w:hAnsi="Verdana"/>
              </w:rPr>
              <w:t xml:space="preserve"> itinerary for Inspector’s pre-Inquiry unaccompanied site visit</w:t>
            </w:r>
          </w:p>
          <w:p w14:paraId="7127576C" w14:textId="153D1402" w:rsidR="00C11AAD" w:rsidRDefault="007A4D1A" w:rsidP="000E0F58">
            <w:pPr>
              <w:rPr>
                <w:rFonts w:ascii="Verdana" w:hAnsi="Verdana"/>
              </w:rPr>
            </w:pPr>
            <w:r>
              <w:rPr>
                <w:rFonts w:ascii="Verdana" w:hAnsi="Verdana"/>
              </w:rPr>
              <w:t>Provide a d</w:t>
            </w:r>
            <w:r w:rsidR="00C11AAD">
              <w:rPr>
                <w:rFonts w:ascii="Verdana" w:hAnsi="Verdana"/>
              </w:rPr>
              <w:t>raft inquiry timetable</w:t>
            </w:r>
          </w:p>
        </w:tc>
      </w:tr>
      <w:tr w:rsidR="000E0F58" w14:paraId="6FF47E4B" w14:textId="77777777" w:rsidTr="000E0F58">
        <w:tc>
          <w:tcPr>
            <w:tcW w:w="2045" w:type="dxa"/>
          </w:tcPr>
          <w:p w14:paraId="122F8622" w14:textId="5CC2C361" w:rsidR="000E0F58" w:rsidRDefault="00702926" w:rsidP="000E0F58">
            <w:pPr>
              <w:rPr>
                <w:rFonts w:ascii="Verdana" w:hAnsi="Verdana"/>
              </w:rPr>
            </w:pPr>
            <w:r>
              <w:rPr>
                <w:rFonts w:ascii="Verdana" w:hAnsi="Verdana"/>
              </w:rPr>
              <w:t>19 March 2024</w:t>
            </w:r>
          </w:p>
        </w:tc>
        <w:tc>
          <w:tcPr>
            <w:tcW w:w="6611" w:type="dxa"/>
          </w:tcPr>
          <w:p w14:paraId="44399421" w14:textId="2DECE76A" w:rsidR="000E0F58" w:rsidRDefault="00702926" w:rsidP="000E0F58">
            <w:pPr>
              <w:rPr>
                <w:rFonts w:ascii="Verdana" w:hAnsi="Verdana"/>
              </w:rPr>
            </w:pPr>
            <w:r>
              <w:rPr>
                <w:rFonts w:ascii="Verdana" w:hAnsi="Verdana"/>
              </w:rPr>
              <w:t xml:space="preserve">Submission of final </w:t>
            </w:r>
            <w:proofErr w:type="spellStart"/>
            <w:r>
              <w:rPr>
                <w:rFonts w:ascii="Verdana" w:hAnsi="Verdana"/>
              </w:rPr>
              <w:t>SoCGs</w:t>
            </w:r>
            <w:proofErr w:type="spellEnd"/>
            <w:r>
              <w:rPr>
                <w:rFonts w:ascii="Verdana" w:hAnsi="Verdana"/>
              </w:rPr>
              <w:t xml:space="preserve"> on heritage, </w:t>
            </w:r>
            <w:r w:rsidR="003E1818">
              <w:rPr>
                <w:rFonts w:ascii="Verdana" w:hAnsi="Verdana"/>
              </w:rPr>
              <w:t xml:space="preserve">landscape, </w:t>
            </w:r>
            <w:r w:rsidR="006D439C">
              <w:rPr>
                <w:rFonts w:ascii="Verdana" w:hAnsi="Verdana"/>
              </w:rPr>
              <w:t>transport/highway/accessibility, housing land supply,</w:t>
            </w:r>
            <w:r w:rsidR="003E1818">
              <w:rPr>
                <w:rFonts w:ascii="Verdana" w:hAnsi="Verdana"/>
              </w:rPr>
              <w:t xml:space="preserve"> agricultural land quality, </w:t>
            </w:r>
          </w:p>
        </w:tc>
      </w:tr>
      <w:tr w:rsidR="000E0F58" w14:paraId="0E4C5B4C" w14:textId="77777777" w:rsidTr="000E0F58">
        <w:tc>
          <w:tcPr>
            <w:tcW w:w="2045" w:type="dxa"/>
          </w:tcPr>
          <w:p w14:paraId="119DE7F4" w14:textId="1B90E4F0" w:rsidR="000E0F58" w:rsidRDefault="003E1818" w:rsidP="000E0F58">
            <w:pPr>
              <w:rPr>
                <w:rFonts w:ascii="Verdana" w:hAnsi="Verdana"/>
              </w:rPr>
            </w:pPr>
            <w:r>
              <w:rPr>
                <w:rFonts w:ascii="Verdana" w:hAnsi="Verdana"/>
              </w:rPr>
              <w:t>19 March 2024</w:t>
            </w:r>
          </w:p>
        </w:tc>
        <w:tc>
          <w:tcPr>
            <w:tcW w:w="6611" w:type="dxa"/>
          </w:tcPr>
          <w:p w14:paraId="7B5E0E50" w14:textId="77777777" w:rsidR="000E0F58" w:rsidRDefault="003E1818" w:rsidP="000E0F58">
            <w:pPr>
              <w:rPr>
                <w:rFonts w:ascii="Verdana" w:hAnsi="Verdana"/>
              </w:rPr>
            </w:pPr>
            <w:r>
              <w:rPr>
                <w:rFonts w:ascii="Verdana" w:hAnsi="Verdana"/>
              </w:rPr>
              <w:t>Main proofs of evidence</w:t>
            </w:r>
          </w:p>
          <w:p w14:paraId="71D833E9" w14:textId="7069AA56" w:rsidR="00EC182E" w:rsidRDefault="00EC182E" w:rsidP="000E0F58">
            <w:pPr>
              <w:rPr>
                <w:rFonts w:ascii="Verdana" w:hAnsi="Verdana"/>
              </w:rPr>
            </w:pPr>
            <w:r>
              <w:rPr>
                <w:rFonts w:ascii="Verdana" w:hAnsi="Verdana"/>
              </w:rPr>
              <w:t>Core Document list</w:t>
            </w:r>
          </w:p>
        </w:tc>
      </w:tr>
      <w:tr w:rsidR="000E0F58" w14:paraId="544A8396" w14:textId="77777777" w:rsidTr="000E0F58">
        <w:tc>
          <w:tcPr>
            <w:tcW w:w="2045" w:type="dxa"/>
          </w:tcPr>
          <w:p w14:paraId="22572A95" w14:textId="34BC4995" w:rsidR="000E0F58" w:rsidRDefault="00EC182E" w:rsidP="000E0F58">
            <w:pPr>
              <w:rPr>
                <w:rFonts w:ascii="Verdana" w:hAnsi="Verdana"/>
              </w:rPr>
            </w:pPr>
            <w:r>
              <w:rPr>
                <w:rFonts w:ascii="Verdana" w:hAnsi="Verdana"/>
              </w:rPr>
              <w:t>26 March</w:t>
            </w:r>
            <w:r w:rsidR="001745F2">
              <w:rPr>
                <w:rFonts w:ascii="Verdana" w:hAnsi="Verdana"/>
              </w:rPr>
              <w:t xml:space="preserve"> 2024</w:t>
            </w:r>
          </w:p>
        </w:tc>
        <w:tc>
          <w:tcPr>
            <w:tcW w:w="6611" w:type="dxa"/>
          </w:tcPr>
          <w:p w14:paraId="050963E9" w14:textId="70669524" w:rsidR="000E0F58" w:rsidRDefault="00357CD9" w:rsidP="000E0F58">
            <w:pPr>
              <w:rPr>
                <w:rFonts w:ascii="Verdana" w:hAnsi="Verdana"/>
              </w:rPr>
            </w:pPr>
            <w:r>
              <w:rPr>
                <w:rFonts w:ascii="Verdana" w:hAnsi="Verdana"/>
              </w:rPr>
              <w:t>Inquiry notification letter</w:t>
            </w:r>
          </w:p>
        </w:tc>
      </w:tr>
      <w:tr w:rsidR="000E0F58" w14:paraId="18EE0DC3" w14:textId="77777777" w:rsidTr="000E0F58">
        <w:tc>
          <w:tcPr>
            <w:tcW w:w="2045" w:type="dxa"/>
          </w:tcPr>
          <w:p w14:paraId="49A6F632" w14:textId="61FAA472" w:rsidR="000E0F58" w:rsidRDefault="001745F2" w:rsidP="000E0F58">
            <w:pPr>
              <w:rPr>
                <w:rFonts w:ascii="Verdana" w:hAnsi="Verdana"/>
              </w:rPr>
            </w:pPr>
            <w:r>
              <w:rPr>
                <w:rFonts w:ascii="Verdana" w:hAnsi="Verdana"/>
              </w:rPr>
              <w:t>9 April 2024</w:t>
            </w:r>
          </w:p>
        </w:tc>
        <w:tc>
          <w:tcPr>
            <w:tcW w:w="6611" w:type="dxa"/>
          </w:tcPr>
          <w:p w14:paraId="35783D7E" w14:textId="670B4A6B" w:rsidR="009B597C" w:rsidRDefault="001745F2" w:rsidP="009B597C">
            <w:pPr>
              <w:rPr>
                <w:rFonts w:ascii="Verdana" w:hAnsi="Verdana"/>
              </w:rPr>
            </w:pPr>
            <w:r>
              <w:rPr>
                <w:rFonts w:ascii="Verdana" w:hAnsi="Verdana"/>
              </w:rPr>
              <w:t>Final draft planning obligation</w:t>
            </w:r>
            <w:r w:rsidR="007257A8">
              <w:rPr>
                <w:rFonts w:ascii="Verdana" w:hAnsi="Verdana"/>
              </w:rPr>
              <w:t>;</w:t>
            </w:r>
            <w:r w:rsidR="0061281E">
              <w:rPr>
                <w:rFonts w:ascii="Verdana" w:hAnsi="Verdana"/>
              </w:rPr>
              <w:t xml:space="preserve"> CIL compliance statement</w:t>
            </w:r>
            <w:r w:rsidR="009B597C">
              <w:rPr>
                <w:rFonts w:ascii="Verdana" w:hAnsi="Verdana"/>
              </w:rPr>
              <w:t xml:space="preserve"> </w:t>
            </w:r>
          </w:p>
          <w:p w14:paraId="253FBACD" w14:textId="15B03860" w:rsidR="001745F2" w:rsidRDefault="009B597C" w:rsidP="009B597C">
            <w:pPr>
              <w:rPr>
                <w:rFonts w:ascii="Verdana" w:hAnsi="Verdana"/>
              </w:rPr>
            </w:pPr>
            <w:r>
              <w:rPr>
                <w:rFonts w:ascii="Verdana" w:hAnsi="Verdana"/>
              </w:rPr>
              <w:t>Final</w:t>
            </w:r>
            <w:r w:rsidR="007257A8">
              <w:rPr>
                <w:rFonts w:ascii="Verdana" w:hAnsi="Verdana"/>
              </w:rPr>
              <w:t>isation of</w:t>
            </w:r>
            <w:r>
              <w:rPr>
                <w:rFonts w:ascii="Verdana" w:hAnsi="Verdana"/>
              </w:rPr>
              <w:t xml:space="preserve"> inquiry</w:t>
            </w:r>
            <w:r w:rsidR="00C34476">
              <w:rPr>
                <w:rFonts w:ascii="Verdana" w:hAnsi="Verdana"/>
              </w:rPr>
              <w:t xml:space="preserve"> timetable</w:t>
            </w:r>
          </w:p>
        </w:tc>
      </w:tr>
      <w:tr w:rsidR="00357CD9" w14:paraId="6D9BB9CC" w14:textId="77777777" w:rsidTr="000E0F58">
        <w:tc>
          <w:tcPr>
            <w:tcW w:w="2045" w:type="dxa"/>
          </w:tcPr>
          <w:p w14:paraId="443D1CDF" w14:textId="3BFD1E9B" w:rsidR="00357CD9" w:rsidRDefault="004355F0" w:rsidP="000E0F58">
            <w:pPr>
              <w:rPr>
                <w:rFonts w:ascii="Verdana" w:hAnsi="Verdana"/>
              </w:rPr>
            </w:pPr>
            <w:r>
              <w:rPr>
                <w:rFonts w:ascii="Verdana" w:hAnsi="Verdana"/>
              </w:rPr>
              <w:t>16 April 2024</w:t>
            </w:r>
          </w:p>
        </w:tc>
        <w:tc>
          <w:tcPr>
            <w:tcW w:w="6611" w:type="dxa"/>
          </w:tcPr>
          <w:p w14:paraId="7789695B" w14:textId="11EBCA8C" w:rsidR="00357CD9" w:rsidRDefault="009C173D" w:rsidP="000E0F58">
            <w:pPr>
              <w:rPr>
                <w:rFonts w:ascii="Verdana" w:hAnsi="Verdana"/>
              </w:rPr>
            </w:pPr>
            <w:r>
              <w:rPr>
                <w:rFonts w:ascii="Verdana" w:hAnsi="Verdana"/>
              </w:rPr>
              <w:t>Draft agendas for the round table sessions</w:t>
            </w:r>
          </w:p>
        </w:tc>
      </w:tr>
      <w:tr w:rsidR="004355F0" w14:paraId="46586F16" w14:textId="77777777" w:rsidTr="000E0F58">
        <w:tc>
          <w:tcPr>
            <w:tcW w:w="2045" w:type="dxa"/>
          </w:tcPr>
          <w:p w14:paraId="5D85658D" w14:textId="0608E3F3" w:rsidR="004355F0" w:rsidRDefault="009C173D" w:rsidP="000E0F58">
            <w:pPr>
              <w:rPr>
                <w:rFonts w:ascii="Verdana" w:hAnsi="Verdana"/>
              </w:rPr>
            </w:pPr>
            <w:r>
              <w:rPr>
                <w:rFonts w:ascii="Verdana" w:hAnsi="Verdana"/>
              </w:rPr>
              <w:t>23 April 2024</w:t>
            </w:r>
          </w:p>
        </w:tc>
        <w:tc>
          <w:tcPr>
            <w:tcW w:w="6611" w:type="dxa"/>
          </w:tcPr>
          <w:p w14:paraId="6195AE9C" w14:textId="0900686F" w:rsidR="004355F0" w:rsidRDefault="009C173D" w:rsidP="000E0F58">
            <w:pPr>
              <w:rPr>
                <w:rFonts w:ascii="Verdana" w:hAnsi="Verdana"/>
              </w:rPr>
            </w:pPr>
            <w:r>
              <w:rPr>
                <w:rFonts w:ascii="Verdana" w:hAnsi="Verdana"/>
              </w:rPr>
              <w:t>Inquiry opens at 10.00</w:t>
            </w:r>
            <w:r w:rsidR="005E450D">
              <w:rPr>
                <w:rFonts w:ascii="Verdana" w:hAnsi="Verdana"/>
              </w:rPr>
              <w:t xml:space="preserve"> hours</w:t>
            </w:r>
          </w:p>
        </w:tc>
      </w:tr>
    </w:tbl>
    <w:p w14:paraId="3E1C054B" w14:textId="77777777" w:rsidR="009775E7" w:rsidRDefault="009775E7" w:rsidP="007F3251">
      <w:pPr>
        <w:pStyle w:val="ListParagraph"/>
        <w:ind w:left="360"/>
        <w:rPr>
          <w:rFonts w:ascii="Verdana" w:hAnsi="Verdana"/>
          <w:b/>
          <w:bCs/>
        </w:rPr>
      </w:pPr>
    </w:p>
    <w:p w14:paraId="1F724D97" w14:textId="0270D806" w:rsidR="007F3251" w:rsidRPr="00996756" w:rsidRDefault="007F3251" w:rsidP="007F3251">
      <w:pPr>
        <w:pStyle w:val="ListParagraph"/>
        <w:ind w:left="360"/>
        <w:rPr>
          <w:rFonts w:ascii="Verdana" w:hAnsi="Verdana"/>
          <w:b/>
          <w:bCs/>
        </w:rPr>
      </w:pPr>
      <w:r w:rsidRPr="00996756">
        <w:rPr>
          <w:rFonts w:ascii="Verdana" w:hAnsi="Verdana"/>
          <w:b/>
          <w:bCs/>
        </w:rPr>
        <w:t>Other action</w:t>
      </w:r>
      <w:r w:rsidR="00996756" w:rsidRPr="00996756">
        <w:rPr>
          <w:rFonts w:ascii="Verdana" w:hAnsi="Verdana"/>
          <w:b/>
          <w:bCs/>
        </w:rPr>
        <w:t>s</w:t>
      </w:r>
    </w:p>
    <w:p w14:paraId="3BEB23D5" w14:textId="77777777" w:rsidR="007F3251" w:rsidRPr="007F3251" w:rsidRDefault="007F3251" w:rsidP="007F3251">
      <w:pPr>
        <w:pStyle w:val="ListParagraph"/>
        <w:rPr>
          <w:rFonts w:ascii="Verdana" w:hAnsi="Verdana"/>
        </w:rPr>
      </w:pPr>
    </w:p>
    <w:p w14:paraId="01D3F859" w14:textId="28059047" w:rsidR="007F3251" w:rsidRDefault="00A2710D" w:rsidP="00F3763B">
      <w:pPr>
        <w:pStyle w:val="ListParagraph"/>
        <w:numPr>
          <w:ilvl w:val="0"/>
          <w:numId w:val="1"/>
        </w:numPr>
        <w:rPr>
          <w:rFonts w:ascii="Verdana" w:hAnsi="Verdana"/>
        </w:rPr>
      </w:pPr>
      <w:r>
        <w:rPr>
          <w:rFonts w:ascii="Verdana" w:hAnsi="Verdana"/>
        </w:rPr>
        <w:t xml:space="preserve">The Inspector </w:t>
      </w:r>
      <w:r w:rsidR="00245369">
        <w:rPr>
          <w:rFonts w:ascii="Verdana" w:hAnsi="Verdana"/>
        </w:rPr>
        <w:t xml:space="preserve">requests the </w:t>
      </w:r>
      <w:r w:rsidR="00E56B19">
        <w:rPr>
          <w:rFonts w:ascii="Verdana" w:hAnsi="Verdana"/>
        </w:rPr>
        <w:t>Council to advise on the following issues</w:t>
      </w:r>
      <w:r w:rsidR="006E1DCE">
        <w:rPr>
          <w:rFonts w:ascii="Verdana" w:hAnsi="Verdana"/>
        </w:rPr>
        <w:t xml:space="preserve"> as soon as possible</w:t>
      </w:r>
      <w:r w:rsidR="00E56B19">
        <w:rPr>
          <w:rFonts w:ascii="Verdana" w:hAnsi="Verdana"/>
        </w:rPr>
        <w:t>:</w:t>
      </w:r>
    </w:p>
    <w:p w14:paraId="12457CB0" w14:textId="565F7422" w:rsidR="001C0EF2" w:rsidRDefault="001C0EF2" w:rsidP="00E56B19">
      <w:pPr>
        <w:pStyle w:val="ListParagraph"/>
        <w:numPr>
          <w:ilvl w:val="1"/>
          <w:numId w:val="1"/>
        </w:numPr>
        <w:rPr>
          <w:rFonts w:ascii="Verdana" w:hAnsi="Verdana"/>
        </w:rPr>
      </w:pPr>
      <w:r>
        <w:rPr>
          <w:rFonts w:ascii="Verdana" w:hAnsi="Verdana"/>
        </w:rPr>
        <w:t>Ability of interested parties</w:t>
      </w:r>
      <w:r w:rsidR="0054729B">
        <w:rPr>
          <w:rFonts w:ascii="Verdana" w:hAnsi="Verdana"/>
        </w:rPr>
        <w:t xml:space="preserve"> to participate virtually at a pre-arranged time in the programme;</w:t>
      </w:r>
    </w:p>
    <w:p w14:paraId="5E8D7D49" w14:textId="29AC8DDF" w:rsidR="00E56B19" w:rsidRDefault="00E56B19" w:rsidP="00E56B19">
      <w:pPr>
        <w:pStyle w:val="ListParagraph"/>
        <w:numPr>
          <w:ilvl w:val="1"/>
          <w:numId w:val="1"/>
        </w:numPr>
        <w:rPr>
          <w:rFonts w:ascii="Verdana" w:hAnsi="Verdana"/>
        </w:rPr>
      </w:pPr>
      <w:r>
        <w:rPr>
          <w:rFonts w:ascii="Verdana" w:hAnsi="Verdana"/>
        </w:rPr>
        <w:t xml:space="preserve">Availability of the Council Chamber </w:t>
      </w:r>
      <w:r w:rsidR="00581773">
        <w:rPr>
          <w:rFonts w:ascii="Verdana" w:hAnsi="Verdana"/>
        </w:rPr>
        <w:t>during week commencing 29 April</w:t>
      </w:r>
      <w:r w:rsidR="00245369">
        <w:rPr>
          <w:rFonts w:ascii="Verdana" w:hAnsi="Verdana"/>
        </w:rPr>
        <w:t>.</w:t>
      </w:r>
    </w:p>
    <w:p w14:paraId="675B8C75" w14:textId="77777777" w:rsidR="00A872A8" w:rsidRPr="00A872A8" w:rsidRDefault="00A872A8" w:rsidP="00A872A8">
      <w:pPr>
        <w:pStyle w:val="ListParagraph"/>
        <w:rPr>
          <w:rFonts w:ascii="Verdana" w:hAnsi="Verdana"/>
        </w:rPr>
      </w:pPr>
    </w:p>
    <w:p w14:paraId="34E2441B" w14:textId="2550B0FE" w:rsidR="00A872A8" w:rsidRPr="00A872A8" w:rsidRDefault="00A872A8" w:rsidP="00A872A8">
      <w:pPr>
        <w:pStyle w:val="ListParagraph"/>
        <w:ind w:left="360"/>
        <w:rPr>
          <w:rFonts w:ascii="Verdana" w:hAnsi="Verdana"/>
          <w:b/>
          <w:bCs/>
        </w:rPr>
      </w:pPr>
      <w:r w:rsidRPr="00A872A8">
        <w:rPr>
          <w:rFonts w:ascii="Verdana" w:hAnsi="Verdana"/>
          <w:b/>
          <w:bCs/>
        </w:rPr>
        <w:t>Costs</w:t>
      </w:r>
    </w:p>
    <w:p w14:paraId="7EF9C451" w14:textId="77777777" w:rsidR="00A872A8" w:rsidRPr="00A872A8" w:rsidRDefault="00A872A8" w:rsidP="00A872A8">
      <w:pPr>
        <w:pStyle w:val="ListParagraph"/>
        <w:rPr>
          <w:rFonts w:ascii="Verdana" w:hAnsi="Verdana"/>
        </w:rPr>
      </w:pPr>
    </w:p>
    <w:p w14:paraId="55DC496D" w14:textId="2C33ACD3" w:rsidR="00A872A8" w:rsidRDefault="00A872A8" w:rsidP="00F3763B">
      <w:pPr>
        <w:pStyle w:val="ListParagraph"/>
        <w:numPr>
          <w:ilvl w:val="0"/>
          <w:numId w:val="1"/>
        </w:numPr>
        <w:rPr>
          <w:rFonts w:ascii="Verdana" w:hAnsi="Verdana"/>
        </w:rPr>
      </w:pPr>
      <w:r>
        <w:rPr>
          <w:rFonts w:ascii="Verdana" w:hAnsi="Verdana"/>
        </w:rPr>
        <w:t>No applications for costs have been made to date and none are anticipated. The parties are reminded that if any application was to be made, the Planning Practice Guidance makes it clear that it should be made in writing before the Inquiry. Costs can be awarded in relation to unreasonable behaviour which may include not complying with the prescribed timetables. You are reminded that the Inspector has the ability to initiate an award of costs should the need arise, although she hopes that this will not be necessary.</w:t>
      </w:r>
    </w:p>
    <w:p w14:paraId="4F37C461" w14:textId="77777777" w:rsidR="00A872A8" w:rsidRDefault="00A872A8" w:rsidP="00A872A8">
      <w:pPr>
        <w:pStyle w:val="ListParagraph"/>
        <w:ind w:left="360"/>
        <w:rPr>
          <w:rFonts w:ascii="Verdana" w:hAnsi="Verdana"/>
        </w:rPr>
      </w:pPr>
    </w:p>
    <w:p w14:paraId="2A1B701B" w14:textId="2D668F26" w:rsidR="00A872A8" w:rsidRPr="00A872A8" w:rsidRDefault="00A872A8" w:rsidP="00A872A8">
      <w:pPr>
        <w:pStyle w:val="ListParagraph"/>
        <w:ind w:left="360"/>
        <w:rPr>
          <w:rFonts w:ascii="Verdana" w:hAnsi="Verdana"/>
          <w:b/>
          <w:bCs/>
        </w:rPr>
      </w:pPr>
      <w:r w:rsidRPr="00A872A8">
        <w:rPr>
          <w:rFonts w:ascii="Verdana" w:hAnsi="Verdana"/>
          <w:b/>
          <w:bCs/>
        </w:rPr>
        <w:t>Conclusion</w:t>
      </w:r>
    </w:p>
    <w:p w14:paraId="674FCD94" w14:textId="77777777" w:rsidR="00A872A8" w:rsidRDefault="00A872A8" w:rsidP="00A872A8">
      <w:pPr>
        <w:pStyle w:val="ListParagraph"/>
        <w:ind w:left="360"/>
        <w:rPr>
          <w:rFonts w:ascii="Verdana" w:hAnsi="Verdana"/>
        </w:rPr>
      </w:pPr>
    </w:p>
    <w:p w14:paraId="370BE9DA" w14:textId="0EADB2E1" w:rsidR="00037190" w:rsidRPr="007813E3" w:rsidRDefault="00A872A8" w:rsidP="007813E3">
      <w:pPr>
        <w:pStyle w:val="ListParagraph"/>
        <w:numPr>
          <w:ilvl w:val="0"/>
          <w:numId w:val="1"/>
        </w:numPr>
        <w:rPr>
          <w:rFonts w:ascii="Verdana" w:hAnsi="Verdana"/>
        </w:rPr>
      </w:pPr>
      <w:r>
        <w:rPr>
          <w:rFonts w:ascii="Verdana" w:hAnsi="Verdana"/>
        </w:rPr>
        <w:t>The Inspector thank</w:t>
      </w:r>
      <w:r w:rsidR="008A56AD">
        <w:rPr>
          <w:rFonts w:ascii="Verdana" w:hAnsi="Verdana"/>
        </w:rPr>
        <w:t>s</w:t>
      </w:r>
      <w:r>
        <w:rPr>
          <w:rFonts w:ascii="Verdana" w:hAnsi="Verdana"/>
        </w:rPr>
        <w:t xml:space="preserve"> the parties for their attendance</w:t>
      </w:r>
      <w:r w:rsidR="00037190">
        <w:rPr>
          <w:rFonts w:ascii="Verdana" w:hAnsi="Verdana"/>
        </w:rPr>
        <w:t xml:space="preserve"> and their </w:t>
      </w:r>
      <w:r w:rsidR="00DA7DA1">
        <w:rPr>
          <w:rFonts w:ascii="Verdana" w:hAnsi="Verdana"/>
        </w:rPr>
        <w:t>positive</w:t>
      </w:r>
      <w:r w:rsidR="00037190">
        <w:rPr>
          <w:rFonts w:ascii="Verdana" w:hAnsi="Verdana"/>
        </w:rPr>
        <w:t xml:space="preserve"> contributions towards preparing for the effective and efficient running of the Inquiry.</w:t>
      </w:r>
      <w:r w:rsidR="007813E3">
        <w:rPr>
          <w:rFonts w:ascii="Verdana" w:hAnsi="Verdana"/>
        </w:rPr>
        <w:t xml:space="preserve"> </w:t>
      </w:r>
      <w:r w:rsidR="00037190" w:rsidRPr="007813E3">
        <w:rPr>
          <w:rFonts w:ascii="Verdana" w:hAnsi="Verdana"/>
        </w:rPr>
        <w:t>The meeting concluded at 11.15.</w:t>
      </w:r>
    </w:p>
    <w:p w14:paraId="4D96A5A3" w14:textId="77777777" w:rsidR="00037190" w:rsidRDefault="00037190" w:rsidP="00037190">
      <w:pPr>
        <w:pStyle w:val="ListParagraph"/>
        <w:ind w:left="360"/>
        <w:rPr>
          <w:rFonts w:ascii="Verdana" w:hAnsi="Verdana"/>
        </w:rPr>
      </w:pPr>
    </w:p>
    <w:p w14:paraId="66FAD0BF" w14:textId="2AF80F82" w:rsidR="006E1DCE" w:rsidRDefault="00037190" w:rsidP="00453F27">
      <w:pPr>
        <w:pStyle w:val="ListParagraph"/>
        <w:ind w:left="360"/>
        <w:rPr>
          <w:rFonts w:ascii="Monotype Corsiva" w:hAnsi="Monotype Corsiva"/>
          <w:sz w:val="36"/>
          <w:szCs w:val="36"/>
        </w:rPr>
      </w:pPr>
      <w:r w:rsidRPr="00037190">
        <w:rPr>
          <w:rFonts w:ascii="Monotype Corsiva" w:hAnsi="Monotype Corsiva"/>
          <w:sz w:val="36"/>
          <w:szCs w:val="36"/>
        </w:rPr>
        <w:t>Sheila Holden</w:t>
      </w:r>
      <w:r w:rsidR="00453F27">
        <w:rPr>
          <w:rFonts w:ascii="Monotype Corsiva" w:hAnsi="Monotype Corsiva"/>
          <w:sz w:val="36"/>
          <w:szCs w:val="36"/>
        </w:rPr>
        <w:tab/>
      </w:r>
    </w:p>
    <w:p w14:paraId="4A082B9C" w14:textId="1E8118DB" w:rsidR="00725EA8" w:rsidRPr="004F0AC5" w:rsidRDefault="00037190" w:rsidP="004F0AC5">
      <w:pPr>
        <w:pStyle w:val="ListParagraph"/>
        <w:ind w:left="360"/>
        <w:rPr>
          <w:rFonts w:ascii="Verdana" w:hAnsi="Verdana"/>
        </w:rPr>
      </w:pPr>
      <w:r w:rsidRPr="00453F27">
        <w:rPr>
          <w:rFonts w:ascii="Verdana" w:hAnsi="Verdana"/>
        </w:rPr>
        <w:t>6 February 2024</w:t>
      </w:r>
    </w:p>
    <w:p w14:paraId="1ED1D392" w14:textId="77777777" w:rsidR="00934FAB" w:rsidRDefault="00934FAB" w:rsidP="00930FF4">
      <w:pPr>
        <w:autoSpaceDE w:val="0"/>
        <w:autoSpaceDN w:val="0"/>
        <w:adjustRightInd w:val="0"/>
        <w:spacing w:after="0" w:line="240" w:lineRule="auto"/>
        <w:rPr>
          <w:rFonts w:ascii="Verdana" w:hAnsi="Verdana" w:cs="Verdana"/>
          <w:b/>
          <w:bCs/>
          <w:color w:val="000000"/>
          <w:kern w:val="0"/>
          <w:sz w:val="23"/>
          <w:szCs w:val="23"/>
        </w:rPr>
        <w:sectPr w:rsidR="00934FAB" w:rsidSect="00AA5949">
          <w:pgSz w:w="11906" w:h="16838"/>
          <w:pgMar w:top="1440" w:right="1440" w:bottom="1134" w:left="1440" w:header="709" w:footer="709" w:gutter="0"/>
          <w:cols w:space="708"/>
          <w:docGrid w:linePitch="360"/>
        </w:sectPr>
      </w:pPr>
    </w:p>
    <w:p w14:paraId="1B9908FD" w14:textId="5F5AEE96" w:rsidR="00930FF4" w:rsidRDefault="00930FF4" w:rsidP="00930FF4">
      <w:pPr>
        <w:autoSpaceDE w:val="0"/>
        <w:autoSpaceDN w:val="0"/>
        <w:adjustRightInd w:val="0"/>
        <w:spacing w:after="0" w:line="240" w:lineRule="auto"/>
        <w:rPr>
          <w:rFonts w:ascii="Verdana" w:hAnsi="Verdana" w:cs="Verdana"/>
          <w:b/>
          <w:bCs/>
          <w:color w:val="000000"/>
          <w:kern w:val="0"/>
          <w:sz w:val="23"/>
          <w:szCs w:val="23"/>
        </w:rPr>
      </w:pPr>
      <w:r w:rsidRPr="00930FF4">
        <w:rPr>
          <w:rFonts w:ascii="Verdana" w:hAnsi="Verdana" w:cs="Verdana"/>
          <w:b/>
          <w:bCs/>
          <w:color w:val="000000"/>
          <w:kern w:val="0"/>
          <w:sz w:val="23"/>
          <w:szCs w:val="23"/>
        </w:rPr>
        <w:lastRenderedPageBreak/>
        <w:t>Annex</w:t>
      </w:r>
      <w:r w:rsidR="00934FAB">
        <w:rPr>
          <w:rFonts w:ascii="Verdana" w:hAnsi="Verdana" w:cs="Verdana"/>
          <w:b/>
          <w:bCs/>
          <w:color w:val="000000"/>
          <w:kern w:val="0"/>
          <w:sz w:val="23"/>
          <w:szCs w:val="23"/>
        </w:rPr>
        <w:t>:</w:t>
      </w:r>
      <w:r w:rsidRPr="00930FF4">
        <w:rPr>
          <w:rFonts w:ascii="Verdana" w:hAnsi="Verdana" w:cs="Verdana"/>
          <w:b/>
          <w:bCs/>
          <w:color w:val="000000"/>
          <w:kern w:val="0"/>
          <w:sz w:val="23"/>
          <w:szCs w:val="23"/>
        </w:rPr>
        <w:t xml:space="preserve"> Content and Format of Proofs and Appendices </w:t>
      </w:r>
    </w:p>
    <w:p w14:paraId="5E201BA4" w14:textId="77777777" w:rsidR="00C86CC5" w:rsidRPr="00930FF4" w:rsidRDefault="00C86CC5" w:rsidP="00930FF4">
      <w:pPr>
        <w:autoSpaceDE w:val="0"/>
        <w:autoSpaceDN w:val="0"/>
        <w:adjustRightInd w:val="0"/>
        <w:spacing w:after="0" w:line="240" w:lineRule="auto"/>
        <w:rPr>
          <w:rFonts w:ascii="Verdana" w:hAnsi="Verdana" w:cs="Verdana"/>
          <w:color w:val="000000"/>
          <w:kern w:val="0"/>
          <w:sz w:val="23"/>
          <w:szCs w:val="23"/>
        </w:rPr>
      </w:pPr>
    </w:p>
    <w:p w14:paraId="58FA91D3" w14:textId="77777777" w:rsidR="00930FF4" w:rsidRDefault="00930FF4" w:rsidP="00930FF4">
      <w:pPr>
        <w:autoSpaceDE w:val="0"/>
        <w:autoSpaceDN w:val="0"/>
        <w:adjustRightInd w:val="0"/>
        <w:spacing w:after="0" w:line="240" w:lineRule="auto"/>
        <w:rPr>
          <w:rFonts w:ascii="Verdana" w:hAnsi="Verdana" w:cs="Verdana"/>
          <w:color w:val="000000"/>
          <w:kern w:val="0"/>
          <w:sz w:val="23"/>
          <w:szCs w:val="23"/>
          <w:u w:val="single"/>
        </w:rPr>
      </w:pPr>
      <w:r w:rsidRPr="00930FF4">
        <w:rPr>
          <w:rFonts w:ascii="Verdana" w:hAnsi="Verdana" w:cs="Verdana"/>
          <w:color w:val="000000"/>
          <w:kern w:val="0"/>
          <w:sz w:val="23"/>
          <w:szCs w:val="23"/>
          <w:u w:val="single"/>
        </w:rPr>
        <w:t xml:space="preserve">Content </w:t>
      </w:r>
    </w:p>
    <w:p w14:paraId="74BCB40C" w14:textId="77777777" w:rsidR="00914805" w:rsidRPr="00930FF4" w:rsidRDefault="00914805" w:rsidP="00930FF4">
      <w:pPr>
        <w:autoSpaceDE w:val="0"/>
        <w:autoSpaceDN w:val="0"/>
        <w:adjustRightInd w:val="0"/>
        <w:spacing w:after="0" w:line="240" w:lineRule="auto"/>
        <w:rPr>
          <w:rFonts w:ascii="Verdana" w:hAnsi="Verdana" w:cs="Verdana"/>
          <w:color w:val="000000"/>
          <w:kern w:val="0"/>
          <w:sz w:val="23"/>
          <w:szCs w:val="23"/>
          <w:u w:val="single"/>
        </w:rPr>
      </w:pPr>
    </w:p>
    <w:p w14:paraId="1FB9232C" w14:textId="77777777" w:rsidR="00930FF4" w:rsidRDefault="00930FF4" w:rsidP="00930FF4">
      <w:pPr>
        <w:autoSpaceDE w:val="0"/>
        <w:autoSpaceDN w:val="0"/>
        <w:adjustRightInd w:val="0"/>
        <w:spacing w:after="0" w:line="240" w:lineRule="auto"/>
        <w:rPr>
          <w:rFonts w:ascii="Verdana" w:hAnsi="Verdana" w:cs="Verdana"/>
          <w:color w:val="000000"/>
          <w:kern w:val="0"/>
          <w:sz w:val="23"/>
          <w:szCs w:val="23"/>
        </w:rPr>
      </w:pPr>
      <w:r w:rsidRPr="00930FF4">
        <w:rPr>
          <w:rFonts w:ascii="Verdana" w:hAnsi="Verdana" w:cs="Verdana"/>
          <w:color w:val="000000"/>
          <w:kern w:val="0"/>
          <w:sz w:val="23"/>
          <w:szCs w:val="23"/>
        </w:rPr>
        <w:t xml:space="preserve">Proofs of evidence </w:t>
      </w:r>
      <w:r w:rsidRPr="00930FF4">
        <w:rPr>
          <w:rFonts w:ascii="Verdana" w:hAnsi="Verdana" w:cs="Verdana"/>
          <w:b/>
          <w:bCs/>
          <w:color w:val="000000"/>
          <w:kern w:val="0"/>
          <w:sz w:val="23"/>
          <w:szCs w:val="23"/>
        </w:rPr>
        <w:t>should</w:t>
      </w:r>
      <w:r w:rsidRPr="00930FF4">
        <w:rPr>
          <w:rFonts w:ascii="Verdana" w:hAnsi="Verdana" w:cs="Verdana"/>
          <w:color w:val="000000"/>
          <w:kern w:val="0"/>
          <w:sz w:val="23"/>
          <w:szCs w:val="23"/>
        </w:rPr>
        <w:t xml:space="preserve">: </w:t>
      </w:r>
    </w:p>
    <w:p w14:paraId="67B80BF8" w14:textId="77777777" w:rsidR="00914805" w:rsidRDefault="00914805" w:rsidP="00930FF4">
      <w:pPr>
        <w:autoSpaceDE w:val="0"/>
        <w:autoSpaceDN w:val="0"/>
        <w:adjustRightInd w:val="0"/>
        <w:spacing w:after="0" w:line="240" w:lineRule="auto"/>
        <w:rPr>
          <w:rFonts w:ascii="Verdana" w:hAnsi="Verdana" w:cs="Verdana"/>
          <w:color w:val="000000"/>
          <w:kern w:val="0"/>
          <w:sz w:val="23"/>
          <w:szCs w:val="23"/>
        </w:rPr>
      </w:pPr>
    </w:p>
    <w:p w14:paraId="4F888207" w14:textId="77777777" w:rsidR="00914805" w:rsidRDefault="00930FF4" w:rsidP="00914805">
      <w:pPr>
        <w:pStyle w:val="ListParagraph"/>
        <w:numPr>
          <w:ilvl w:val="0"/>
          <w:numId w:val="5"/>
        </w:numPr>
        <w:autoSpaceDE w:val="0"/>
        <w:autoSpaceDN w:val="0"/>
        <w:adjustRightInd w:val="0"/>
        <w:spacing w:after="0" w:line="240" w:lineRule="auto"/>
        <w:rPr>
          <w:rFonts w:ascii="Verdana" w:hAnsi="Verdana" w:cs="Verdana"/>
          <w:color w:val="000000"/>
          <w:kern w:val="0"/>
          <w:sz w:val="23"/>
          <w:szCs w:val="23"/>
        </w:rPr>
      </w:pPr>
      <w:r w:rsidRPr="00914805">
        <w:rPr>
          <w:rFonts w:ascii="Verdana" w:hAnsi="Verdana" w:cs="Verdana"/>
          <w:color w:val="000000"/>
          <w:kern w:val="0"/>
          <w:sz w:val="23"/>
          <w:szCs w:val="23"/>
        </w:rPr>
        <w:t>focus on the main issues identified, in particular on areas of disagreement;</w:t>
      </w:r>
    </w:p>
    <w:p w14:paraId="035C3032" w14:textId="6DBAF1FD" w:rsidR="00930FF4" w:rsidRDefault="00930FF4" w:rsidP="00914805">
      <w:pPr>
        <w:pStyle w:val="ListParagraph"/>
        <w:numPr>
          <w:ilvl w:val="0"/>
          <w:numId w:val="5"/>
        </w:numPr>
        <w:autoSpaceDE w:val="0"/>
        <w:autoSpaceDN w:val="0"/>
        <w:adjustRightInd w:val="0"/>
        <w:spacing w:after="0" w:line="240" w:lineRule="auto"/>
        <w:rPr>
          <w:rFonts w:ascii="Verdana" w:hAnsi="Verdana" w:cs="Verdana"/>
          <w:color w:val="000000"/>
          <w:kern w:val="0"/>
          <w:sz w:val="23"/>
          <w:szCs w:val="23"/>
        </w:rPr>
      </w:pPr>
      <w:r w:rsidRPr="00914805">
        <w:rPr>
          <w:rFonts w:ascii="Verdana" w:hAnsi="Verdana" w:cs="Verdana"/>
          <w:color w:val="000000"/>
          <w:kern w:val="0"/>
          <w:sz w:val="23"/>
          <w:szCs w:val="23"/>
        </w:rPr>
        <w:t xml:space="preserve">be proportionate to the number and complexity of issues and matters that the witness is addressing; </w:t>
      </w:r>
    </w:p>
    <w:p w14:paraId="00A66384" w14:textId="77777777" w:rsidR="00914805" w:rsidRDefault="00930FF4" w:rsidP="00930FF4">
      <w:pPr>
        <w:pStyle w:val="ListParagraph"/>
        <w:numPr>
          <w:ilvl w:val="0"/>
          <w:numId w:val="5"/>
        </w:numPr>
        <w:autoSpaceDE w:val="0"/>
        <w:autoSpaceDN w:val="0"/>
        <w:adjustRightInd w:val="0"/>
        <w:spacing w:after="0" w:line="240" w:lineRule="auto"/>
        <w:rPr>
          <w:rFonts w:ascii="Verdana" w:hAnsi="Verdana" w:cs="Verdana"/>
          <w:color w:val="000000"/>
          <w:kern w:val="0"/>
          <w:sz w:val="23"/>
          <w:szCs w:val="23"/>
        </w:rPr>
      </w:pPr>
      <w:r w:rsidRPr="00914805">
        <w:rPr>
          <w:rFonts w:ascii="Verdana" w:hAnsi="Verdana" w:cs="Verdana"/>
          <w:color w:val="000000"/>
          <w:kern w:val="0"/>
          <w:sz w:val="23"/>
          <w:szCs w:val="23"/>
        </w:rPr>
        <w:t>be concise, precise, relevant and contain facts and expert opinion deriving from witnesses’ own professional expertise and experience, and/or local knowledge;</w:t>
      </w:r>
    </w:p>
    <w:p w14:paraId="688E188E" w14:textId="77AAC7AB" w:rsidR="00930FF4" w:rsidRDefault="00930FF4" w:rsidP="00930FF4">
      <w:pPr>
        <w:pStyle w:val="ListParagraph"/>
        <w:numPr>
          <w:ilvl w:val="0"/>
          <w:numId w:val="5"/>
        </w:numPr>
        <w:autoSpaceDE w:val="0"/>
        <w:autoSpaceDN w:val="0"/>
        <w:adjustRightInd w:val="0"/>
        <w:spacing w:after="0" w:line="240" w:lineRule="auto"/>
        <w:rPr>
          <w:rFonts w:ascii="Verdana" w:hAnsi="Verdana" w:cs="Verdana"/>
          <w:color w:val="000000"/>
          <w:kern w:val="0"/>
          <w:sz w:val="23"/>
          <w:szCs w:val="23"/>
        </w:rPr>
      </w:pPr>
      <w:r w:rsidRPr="00914805">
        <w:rPr>
          <w:rFonts w:ascii="Verdana" w:hAnsi="Verdana" w:cs="Verdana"/>
          <w:color w:val="000000"/>
          <w:kern w:val="0"/>
          <w:sz w:val="23"/>
          <w:szCs w:val="23"/>
        </w:rPr>
        <w:t xml:space="preserve">be prepared with a clear structure that identifies and addresses the main issues within the witness’s field of knowledge and avoids repetition; </w:t>
      </w:r>
    </w:p>
    <w:p w14:paraId="2E50E3C4" w14:textId="27C56EFB" w:rsidR="00930FF4" w:rsidRDefault="00930FF4" w:rsidP="00930FF4">
      <w:pPr>
        <w:pStyle w:val="ListParagraph"/>
        <w:numPr>
          <w:ilvl w:val="0"/>
          <w:numId w:val="5"/>
        </w:numPr>
        <w:autoSpaceDE w:val="0"/>
        <w:autoSpaceDN w:val="0"/>
        <w:adjustRightInd w:val="0"/>
        <w:spacing w:after="0" w:line="240" w:lineRule="auto"/>
        <w:rPr>
          <w:rFonts w:ascii="Verdana" w:hAnsi="Verdana" w:cs="Verdana"/>
          <w:color w:val="000000"/>
          <w:kern w:val="0"/>
          <w:sz w:val="23"/>
          <w:szCs w:val="23"/>
        </w:rPr>
      </w:pPr>
      <w:r w:rsidRPr="00914805">
        <w:rPr>
          <w:rFonts w:ascii="Verdana" w:hAnsi="Verdana" w:cs="Verdana"/>
          <w:color w:val="000000"/>
          <w:kern w:val="0"/>
          <w:sz w:val="23"/>
          <w:szCs w:val="23"/>
        </w:rPr>
        <w:t xml:space="preserve">focus on what is really necessary to make the case and avoid including unnecessary material, or duplicating material in other documents or another witness’s evidence; </w:t>
      </w:r>
    </w:p>
    <w:p w14:paraId="703EAA6B" w14:textId="2DC14E76" w:rsidR="00930FF4" w:rsidRDefault="00930FF4" w:rsidP="00930FF4">
      <w:pPr>
        <w:pStyle w:val="ListParagraph"/>
        <w:numPr>
          <w:ilvl w:val="0"/>
          <w:numId w:val="5"/>
        </w:numPr>
        <w:autoSpaceDE w:val="0"/>
        <w:autoSpaceDN w:val="0"/>
        <w:adjustRightInd w:val="0"/>
        <w:spacing w:after="0" w:line="240" w:lineRule="auto"/>
        <w:rPr>
          <w:rFonts w:ascii="Verdana" w:hAnsi="Verdana" w:cs="Verdana"/>
          <w:color w:val="000000"/>
          <w:kern w:val="0"/>
          <w:sz w:val="23"/>
          <w:szCs w:val="23"/>
        </w:rPr>
      </w:pPr>
      <w:r w:rsidRPr="00914805">
        <w:rPr>
          <w:rFonts w:ascii="Verdana" w:hAnsi="Verdana" w:cs="Verdana"/>
          <w:color w:val="000000"/>
          <w:kern w:val="0"/>
          <w:sz w:val="23"/>
          <w:szCs w:val="23"/>
        </w:rPr>
        <w:t xml:space="preserve">where data is referred to, include that data, and outline any relevant assessment methodology and the assumptions used to support the arguments (unless this material has been previously agreed and is included as part of the statement of common ground); </w:t>
      </w:r>
    </w:p>
    <w:p w14:paraId="2F1CD15E" w14:textId="59662AE6" w:rsidR="00930FF4" w:rsidRPr="00914805" w:rsidRDefault="00930FF4" w:rsidP="00D143B3">
      <w:pPr>
        <w:pStyle w:val="ListParagraph"/>
        <w:numPr>
          <w:ilvl w:val="0"/>
          <w:numId w:val="5"/>
        </w:numPr>
        <w:autoSpaceDE w:val="0"/>
        <w:autoSpaceDN w:val="0"/>
        <w:adjustRightInd w:val="0"/>
        <w:spacing w:after="0" w:line="240" w:lineRule="auto"/>
        <w:rPr>
          <w:rFonts w:ascii="Verdana" w:hAnsi="Verdana" w:cs="Verdana"/>
          <w:color w:val="000000"/>
          <w:kern w:val="0"/>
          <w:sz w:val="23"/>
          <w:szCs w:val="23"/>
        </w:rPr>
      </w:pPr>
      <w:r w:rsidRPr="00914805">
        <w:rPr>
          <w:rFonts w:ascii="Verdana" w:hAnsi="Verdana" w:cs="Verdana"/>
          <w:color w:val="000000"/>
          <w:kern w:val="0"/>
          <w:sz w:val="23"/>
          <w:szCs w:val="23"/>
        </w:rPr>
        <w:t xml:space="preserve">where case law is cited in the proof, include the full Court report/transcript reference and cross refer to a copy of the report/transcript which should be included as a core document. </w:t>
      </w:r>
    </w:p>
    <w:p w14:paraId="7F98DEC8" w14:textId="77777777" w:rsidR="00930FF4" w:rsidRPr="00930FF4" w:rsidRDefault="00930FF4" w:rsidP="00930FF4">
      <w:pPr>
        <w:autoSpaceDE w:val="0"/>
        <w:autoSpaceDN w:val="0"/>
        <w:adjustRightInd w:val="0"/>
        <w:spacing w:after="0" w:line="240" w:lineRule="auto"/>
        <w:rPr>
          <w:rFonts w:ascii="Verdana" w:hAnsi="Verdana" w:cs="Verdana"/>
          <w:color w:val="000000"/>
          <w:kern w:val="0"/>
          <w:sz w:val="23"/>
          <w:szCs w:val="23"/>
        </w:rPr>
      </w:pPr>
    </w:p>
    <w:p w14:paraId="531CA3FE" w14:textId="77777777" w:rsidR="00D143B3" w:rsidRDefault="00930FF4" w:rsidP="00930FF4">
      <w:pPr>
        <w:autoSpaceDE w:val="0"/>
        <w:autoSpaceDN w:val="0"/>
        <w:adjustRightInd w:val="0"/>
        <w:spacing w:after="0" w:line="240" w:lineRule="auto"/>
        <w:rPr>
          <w:rFonts w:ascii="Verdana" w:hAnsi="Verdana" w:cs="Verdana"/>
          <w:color w:val="000000"/>
          <w:kern w:val="0"/>
          <w:sz w:val="23"/>
          <w:szCs w:val="23"/>
        </w:rPr>
      </w:pPr>
      <w:r w:rsidRPr="00930FF4">
        <w:rPr>
          <w:rFonts w:ascii="Verdana" w:hAnsi="Verdana" w:cs="Verdana"/>
          <w:color w:val="000000"/>
          <w:kern w:val="0"/>
          <w:sz w:val="23"/>
          <w:szCs w:val="23"/>
        </w:rPr>
        <w:t xml:space="preserve">Proofs </w:t>
      </w:r>
      <w:r w:rsidRPr="00930FF4">
        <w:rPr>
          <w:rFonts w:ascii="Verdana" w:hAnsi="Verdana" w:cs="Verdana"/>
          <w:b/>
          <w:bCs/>
          <w:color w:val="000000"/>
          <w:kern w:val="0"/>
          <w:sz w:val="23"/>
          <w:szCs w:val="23"/>
        </w:rPr>
        <w:t>should not</w:t>
      </w:r>
      <w:r w:rsidRPr="00930FF4">
        <w:rPr>
          <w:rFonts w:ascii="Verdana" w:hAnsi="Verdana" w:cs="Verdana"/>
          <w:color w:val="000000"/>
          <w:kern w:val="0"/>
          <w:sz w:val="23"/>
          <w:szCs w:val="23"/>
        </w:rPr>
        <w:t>:</w:t>
      </w:r>
    </w:p>
    <w:p w14:paraId="73521686" w14:textId="77777777" w:rsidR="00914805" w:rsidRDefault="00914805" w:rsidP="00930FF4">
      <w:pPr>
        <w:autoSpaceDE w:val="0"/>
        <w:autoSpaceDN w:val="0"/>
        <w:adjustRightInd w:val="0"/>
        <w:spacing w:after="0" w:line="240" w:lineRule="auto"/>
        <w:rPr>
          <w:rFonts w:ascii="Verdana" w:hAnsi="Verdana" w:cs="Verdana"/>
          <w:color w:val="000000"/>
          <w:kern w:val="0"/>
          <w:sz w:val="23"/>
          <w:szCs w:val="23"/>
        </w:rPr>
      </w:pPr>
    </w:p>
    <w:p w14:paraId="085DC60C" w14:textId="4427CB78" w:rsidR="00930FF4" w:rsidRDefault="00930FF4" w:rsidP="00930FF4">
      <w:pPr>
        <w:pStyle w:val="ListParagraph"/>
        <w:numPr>
          <w:ilvl w:val="0"/>
          <w:numId w:val="6"/>
        </w:numPr>
        <w:autoSpaceDE w:val="0"/>
        <w:autoSpaceDN w:val="0"/>
        <w:adjustRightInd w:val="0"/>
        <w:spacing w:after="0" w:line="240" w:lineRule="auto"/>
        <w:rPr>
          <w:rFonts w:ascii="Verdana" w:hAnsi="Verdana" w:cs="Verdana"/>
          <w:color w:val="000000"/>
          <w:kern w:val="0"/>
          <w:sz w:val="23"/>
          <w:szCs w:val="23"/>
        </w:rPr>
      </w:pPr>
      <w:r w:rsidRPr="00914805">
        <w:rPr>
          <w:rFonts w:ascii="Verdana" w:hAnsi="Verdana" w:cs="Verdana"/>
          <w:color w:val="000000"/>
          <w:kern w:val="0"/>
          <w:sz w:val="23"/>
          <w:szCs w:val="23"/>
        </w:rPr>
        <w:t xml:space="preserve">duplicate information already included in other Inquiry material, such as site description, planning history and the relevant planning policy; </w:t>
      </w:r>
    </w:p>
    <w:p w14:paraId="10837927" w14:textId="120197B1" w:rsidR="00930FF4" w:rsidRPr="00914805" w:rsidRDefault="00930FF4" w:rsidP="00930FF4">
      <w:pPr>
        <w:pStyle w:val="ListParagraph"/>
        <w:numPr>
          <w:ilvl w:val="0"/>
          <w:numId w:val="6"/>
        </w:numPr>
        <w:autoSpaceDE w:val="0"/>
        <w:autoSpaceDN w:val="0"/>
        <w:adjustRightInd w:val="0"/>
        <w:spacing w:after="0" w:line="240" w:lineRule="auto"/>
        <w:rPr>
          <w:rFonts w:ascii="Verdana" w:hAnsi="Verdana" w:cs="Verdana"/>
          <w:color w:val="000000"/>
          <w:kern w:val="0"/>
          <w:sz w:val="23"/>
          <w:szCs w:val="23"/>
        </w:rPr>
      </w:pPr>
      <w:r w:rsidRPr="00914805">
        <w:rPr>
          <w:rFonts w:ascii="Verdana" w:hAnsi="Verdana" w:cs="Verdana"/>
          <w:color w:val="000000"/>
          <w:kern w:val="0"/>
          <w:sz w:val="23"/>
          <w:szCs w:val="23"/>
        </w:rPr>
        <w:t xml:space="preserve">recite the text of policies referred to elsewhere: the proofs need only identify the relevant policy numbers, with extracts being provided as core documents. Only policies which are needed to understand the argument being put forward and are fundamental to an appraisal of the proposals’ merits need be referred to. </w:t>
      </w:r>
    </w:p>
    <w:p w14:paraId="0203448C" w14:textId="77777777" w:rsidR="006F70B6" w:rsidRPr="00930FF4" w:rsidRDefault="006F70B6" w:rsidP="00930FF4">
      <w:pPr>
        <w:autoSpaceDE w:val="0"/>
        <w:autoSpaceDN w:val="0"/>
        <w:adjustRightInd w:val="0"/>
        <w:spacing w:after="0" w:line="240" w:lineRule="auto"/>
        <w:rPr>
          <w:rFonts w:ascii="Verdana" w:hAnsi="Verdana" w:cs="Verdana"/>
          <w:color w:val="000000"/>
          <w:kern w:val="0"/>
          <w:sz w:val="23"/>
          <w:szCs w:val="23"/>
        </w:rPr>
      </w:pPr>
    </w:p>
    <w:p w14:paraId="1ECB88E3" w14:textId="0F659F88" w:rsidR="00930FF4" w:rsidRDefault="00930FF4" w:rsidP="00930FF4">
      <w:pPr>
        <w:autoSpaceDE w:val="0"/>
        <w:autoSpaceDN w:val="0"/>
        <w:adjustRightInd w:val="0"/>
        <w:spacing w:after="0" w:line="240" w:lineRule="auto"/>
        <w:rPr>
          <w:rFonts w:ascii="Verdana" w:hAnsi="Verdana" w:cs="Verdana"/>
          <w:color w:val="000000"/>
          <w:kern w:val="0"/>
          <w:sz w:val="23"/>
          <w:szCs w:val="23"/>
          <w:u w:val="single"/>
        </w:rPr>
      </w:pPr>
      <w:r w:rsidRPr="00930FF4">
        <w:rPr>
          <w:rFonts w:ascii="Verdana" w:hAnsi="Verdana" w:cs="Verdana"/>
          <w:color w:val="000000"/>
          <w:kern w:val="0"/>
          <w:sz w:val="23"/>
          <w:szCs w:val="23"/>
          <w:u w:val="single"/>
        </w:rPr>
        <w:t xml:space="preserve">Format of the proofs and appendices: </w:t>
      </w:r>
    </w:p>
    <w:p w14:paraId="2E140442" w14:textId="77777777" w:rsidR="006F70B6" w:rsidRDefault="006F70B6" w:rsidP="00930FF4">
      <w:pPr>
        <w:autoSpaceDE w:val="0"/>
        <w:autoSpaceDN w:val="0"/>
        <w:adjustRightInd w:val="0"/>
        <w:spacing w:after="0" w:line="240" w:lineRule="auto"/>
        <w:rPr>
          <w:rFonts w:ascii="Verdana" w:hAnsi="Verdana" w:cs="Verdana"/>
          <w:color w:val="000000"/>
          <w:kern w:val="0"/>
          <w:sz w:val="23"/>
          <w:szCs w:val="23"/>
          <w:u w:val="single"/>
        </w:rPr>
      </w:pPr>
    </w:p>
    <w:p w14:paraId="52B8B172" w14:textId="7F0B7664" w:rsidR="008F66E8" w:rsidRPr="008F66E8" w:rsidRDefault="00930FF4" w:rsidP="008F66E8">
      <w:pPr>
        <w:pStyle w:val="ListParagraph"/>
        <w:numPr>
          <w:ilvl w:val="0"/>
          <w:numId w:val="7"/>
        </w:numPr>
        <w:autoSpaceDE w:val="0"/>
        <w:autoSpaceDN w:val="0"/>
        <w:adjustRightInd w:val="0"/>
        <w:spacing w:after="0" w:line="240" w:lineRule="auto"/>
        <w:rPr>
          <w:rFonts w:ascii="Verdana" w:hAnsi="Verdana" w:cs="Verdana"/>
          <w:color w:val="000000"/>
          <w:kern w:val="0"/>
          <w:sz w:val="23"/>
          <w:szCs w:val="23"/>
          <w:u w:val="single"/>
        </w:rPr>
      </w:pPr>
      <w:r w:rsidRPr="008F66E8">
        <w:rPr>
          <w:rFonts w:ascii="Verdana" w:hAnsi="Verdana" w:cs="Verdana"/>
          <w:color w:val="000000"/>
          <w:kern w:val="0"/>
          <w:sz w:val="23"/>
          <w:szCs w:val="23"/>
        </w:rPr>
        <w:t>Proofs to be no longer than 3000 words if possible. Where proofs are longer than 1500 words, summaries are to be submitted</w:t>
      </w:r>
      <w:r w:rsidR="00D244D1">
        <w:rPr>
          <w:rFonts w:ascii="Verdana" w:hAnsi="Verdana" w:cs="Verdana"/>
          <w:color w:val="000000"/>
          <w:kern w:val="0"/>
          <w:sz w:val="23"/>
          <w:szCs w:val="23"/>
        </w:rPr>
        <w:t>.</w:t>
      </w:r>
      <w:r w:rsidRPr="008F66E8">
        <w:rPr>
          <w:rFonts w:ascii="Verdana" w:hAnsi="Verdana" w:cs="Verdana"/>
          <w:color w:val="000000"/>
          <w:kern w:val="0"/>
          <w:sz w:val="23"/>
          <w:szCs w:val="23"/>
        </w:rPr>
        <w:t xml:space="preserve"> </w:t>
      </w:r>
    </w:p>
    <w:p w14:paraId="276F0A6F" w14:textId="28A2AF6A" w:rsidR="008F66E8" w:rsidRPr="008F66E8" w:rsidRDefault="00930FF4" w:rsidP="008F66E8">
      <w:pPr>
        <w:pStyle w:val="ListParagraph"/>
        <w:numPr>
          <w:ilvl w:val="0"/>
          <w:numId w:val="7"/>
        </w:numPr>
        <w:autoSpaceDE w:val="0"/>
        <w:autoSpaceDN w:val="0"/>
        <w:adjustRightInd w:val="0"/>
        <w:spacing w:after="0" w:line="240" w:lineRule="auto"/>
        <w:rPr>
          <w:rFonts w:ascii="Verdana" w:hAnsi="Verdana" w:cs="Verdana"/>
          <w:color w:val="000000"/>
          <w:kern w:val="0"/>
          <w:sz w:val="23"/>
          <w:szCs w:val="23"/>
          <w:u w:val="single"/>
        </w:rPr>
      </w:pPr>
      <w:r w:rsidRPr="008F66E8">
        <w:rPr>
          <w:rFonts w:ascii="Verdana" w:hAnsi="Verdana" w:cs="Verdana"/>
          <w:color w:val="000000"/>
          <w:kern w:val="0"/>
          <w:sz w:val="23"/>
          <w:szCs w:val="23"/>
        </w:rPr>
        <w:t>Pages and paragraphs should be numbered</w:t>
      </w:r>
      <w:r w:rsidR="00D244D1">
        <w:rPr>
          <w:rFonts w:ascii="Verdana" w:hAnsi="Verdana" w:cs="Verdana"/>
          <w:color w:val="000000"/>
          <w:kern w:val="0"/>
          <w:sz w:val="23"/>
          <w:szCs w:val="23"/>
        </w:rPr>
        <w:t>.</w:t>
      </w:r>
    </w:p>
    <w:p w14:paraId="370D991E" w14:textId="4C2FFD34" w:rsidR="008F66E8" w:rsidRPr="008F66E8" w:rsidRDefault="00930FF4" w:rsidP="008F66E8">
      <w:pPr>
        <w:pStyle w:val="ListParagraph"/>
        <w:numPr>
          <w:ilvl w:val="0"/>
          <w:numId w:val="7"/>
        </w:numPr>
        <w:autoSpaceDE w:val="0"/>
        <w:autoSpaceDN w:val="0"/>
        <w:adjustRightInd w:val="0"/>
        <w:spacing w:after="0" w:line="240" w:lineRule="auto"/>
        <w:rPr>
          <w:rFonts w:ascii="Verdana" w:hAnsi="Verdana" w:cs="Verdana"/>
          <w:color w:val="000000"/>
          <w:kern w:val="0"/>
          <w:sz w:val="23"/>
          <w:szCs w:val="23"/>
          <w:u w:val="single"/>
        </w:rPr>
      </w:pPr>
      <w:r w:rsidRPr="008F66E8">
        <w:rPr>
          <w:rFonts w:ascii="Verdana" w:hAnsi="Verdana" w:cs="Verdana"/>
          <w:color w:val="000000"/>
          <w:kern w:val="0"/>
          <w:sz w:val="23"/>
          <w:szCs w:val="23"/>
        </w:rPr>
        <w:t>Text font and paragraph spacing should be to accessible standards of legibility</w:t>
      </w:r>
      <w:r w:rsidR="00D244D1">
        <w:rPr>
          <w:rFonts w:ascii="Verdana" w:hAnsi="Verdana" w:cs="Verdana"/>
          <w:color w:val="000000"/>
          <w:kern w:val="0"/>
          <w:sz w:val="23"/>
          <w:szCs w:val="23"/>
        </w:rPr>
        <w:t>.</w:t>
      </w:r>
    </w:p>
    <w:p w14:paraId="5D774E75" w14:textId="0582CDFB" w:rsidR="00930FF4" w:rsidRPr="008F66E8" w:rsidRDefault="00930FF4" w:rsidP="008F66E8">
      <w:pPr>
        <w:pStyle w:val="ListParagraph"/>
        <w:numPr>
          <w:ilvl w:val="0"/>
          <w:numId w:val="7"/>
        </w:numPr>
        <w:autoSpaceDE w:val="0"/>
        <w:autoSpaceDN w:val="0"/>
        <w:adjustRightInd w:val="0"/>
        <w:spacing w:after="0" w:line="240" w:lineRule="auto"/>
        <w:rPr>
          <w:rFonts w:ascii="Verdana" w:hAnsi="Verdana" w:cs="Verdana"/>
          <w:color w:val="000000"/>
          <w:kern w:val="0"/>
          <w:sz w:val="23"/>
          <w:szCs w:val="23"/>
          <w:u w:val="single"/>
        </w:rPr>
      </w:pPr>
      <w:r w:rsidRPr="008F66E8">
        <w:rPr>
          <w:rFonts w:ascii="Verdana" w:hAnsi="Verdana" w:cs="Verdana"/>
          <w:color w:val="000000"/>
          <w:kern w:val="0"/>
          <w:sz w:val="23"/>
          <w:szCs w:val="23"/>
        </w:rPr>
        <w:t xml:space="preserve">Front covers to proofs and appendices are to be clearly titled, with the name of the witness on the cover. </w:t>
      </w:r>
    </w:p>
    <w:p w14:paraId="4509C5AE" w14:textId="06D35DA8" w:rsidR="00930FF4" w:rsidRPr="008F66E8" w:rsidRDefault="00930FF4" w:rsidP="008F66E8">
      <w:pPr>
        <w:pStyle w:val="ListParagraph"/>
        <w:numPr>
          <w:ilvl w:val="0"/>
          <w:numId w:val="7"/>
        </w:numPr>
        <w:autoSpaceDE w:val="0"/>
        <w:autoSpaceDN w:val="0"/>
        <w:adjustRightInd w:val="0"/>
        <w:spacing w:after="0" w:line="240" w:lineRule="auto"/>
        <w:rPr>
          <w:rFonts w:ascii="Verdana" w:hAnsi="Verdana" w:cs="Verdana"/>
          <w:color w:val="000000"/>
          <w:kern w:val="0"/>
          <w:sz w:val="23"/>
          <w:szCs w:val="23"/>
          <w:u w:val="single"/>
        </w:rPr>
      </w:pPr>
      <w:r w:rsidRPr="008F66E8">
        <w:rPr>
          <w:rFonts w:ascii="Verdana" w:hAnsi="Verdana" w:cs="Verdana"/>
          <w:color w:val="000000"/>
          <w:kern w:val="0"/>
          <w:sz w:val="23"/>
          <w:szCs w:val="23"/>
        </w:rPr>
        <w:t xml:space="preserve">Proofs are to be spiral bound in such a way as to be easily opened and read. </w:t>
      </w:r>
    </w:p>
    <w:p w14:paraId="22F1829F" w14:textId="1A69FED5" w:rsidR="00930FF4" w:rsidRPr="008F66E8" w:rsidRDefault="00930FF4" w:rsidP="00930FF4">
      <w:pPr>
        <w:pStyle w:val="ListParagraph"/>
        <w:numPr>
          <w:ilvl w:val="0"/>
          <w:numId w:val="7"/>
        </w:numPr>
        <w:autoSpaceDE w:val="0"/>
        <w:autoSpaceDN w:val="0"/>
        <w:adjustRightInd w:val="0"/>
        <w:spacing w:after="0" w:line="240" w:lineRule="auto"/>
        <w:rPr>
          <w:rFonts w:ascii="Verdana" w:hAnsi="Verdana" w:cs="Verdana"/>
          <w:color w:val="000000"/>
          <w:kern w:val="0"/>
          <w:sz w:val="23"/>
          <w:szCs w:val="23"/>
          <w:u w:val="single"/>
        </w:rPr>
      </w:pPr>
      <w:r w:rsidRPr="008F66E8">
        <w:rPr>
          <w:rFonts w:ascii="Verdana" w:hAnsi="Verdana" w:cs="Verdana"/>
          <w:color w:val="000000"/>
          <w:kern w:val="0"/>
          <w:sz w:val="23"/>
          <w:szCs w:val="23"/>
        </w:rPr>
        <w:t xml:space="preserve">Appendices are to be bound separately. </w:t>
      </w:r>
    </w:p>
    <w:p w14:paraId="32F97306" w14:textId="6B730ECB" w:rsidR="00CA72D1" w:rsidRPr="008F66E8" w:rsidRDefault="00930FF4" w:rsidP="00930FF4">
      <w:pPr>
        <w:pStyle w:val="ListParagraph"/>
        <w:numPr>
          <w:ilvl w:val="0"/>
          <w:numId w:val="7"/>
        </w:numPr>
        <w:autoSpaceDE w:val="0"/>
        <w:autoSpaceDN w:val="0"/>
        <w:adjustRightInd w:val="0"/>
        <w:spacing w:after="0" w:line="240" w:lineRule="auto"/>
        <w:rPr>
          <w:rFonts w:ascii="Verdana" w:hAnsi="Verdana" w:cs="Verdana"/>
          <w:color w:val="000000"/>
          <w:kern w:val="0"/>
          <w:sz w:val="23"/>
          <w:szCs w:val="23"/>
          <w:u w:val="single"/>
        </w:rPr>
      </w:pPr>
      <w:r w:rsidRPr="008F66E8">
        <w:rPr>
          <w:rFonts w:ascii="Verdana" w:hAnsi="Verdana" w:cs="Verdana"/>
          <w:color w:val="000000"/>
          <w:kern w:val="0"/>
          <w:sz w:val="23"/>
          <w:szCs w:val="23"/>
        </w:rPr>
        <w:t>Appendices are to be indexed using projecting tabs, labelled and paginated.</w:t>
      </w:r>
    </w:p>
    <w:sectPr w:rsidR="00CA72D1" w:rsidRPr="008F66E8" w:rsidSect="00934FAB">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6F4B7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EF757B"/>
    <w:multiLevelType w:val="hybridMultilevel"/>
    <w:tmpl w:val="6C9E807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B6F00E4"/>
    <w:multiLevelType w:val="hybridMultilevel"/>
    <w:tmpl w:val="D4C042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EA44E4"/>
    <w:multiLevelType w:val="hybridMultilevel"/>
    <w:tmpl w:val="23D031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8B25528"/>
    <w:multiLevelType w:val="hybridMultilevel"/>
    <w:tmpl w:val="B6324F92"/>
    <w:lvl w:ilvl="0" w:tplc="655E3962">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38B70BC5"/>
    <w:multiLevelType w:val="hybridMultilevel"/>
    <w:tmpl w:val="78D886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B0C676B"/>
    <w:multiLevelType w:val="hybridMultilevel"/>
    <w:tmpl w:val="9B4659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745657E"/>
    <w:multiLevelType w:val="hybridMultilevel"/>
    <w:tmpl w:val="5AFE3064"/>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65926054">
    <w:abstractNumId w:val="1"/>
  </w:num>
  <w:num w:numId="2" w16cid:durableId="605772518">
    <w:abstractNumId w:val="7"/>
  </w:num>
  <w:num w:numId="3" w16cid:durableId="330262385">
    <w:abstractNumId w:val="3"/>
  </w:num>
  <w:num w:numId="4" w16cid:durableId="709458883">
    <w:abstractNumId w:val="0"/>
  </w:num>
  <w:num w:numId="5" w16cid:durableId="485708089">
    <w:abstractNumId w:val="5"/>
  </w:num>
  <w:num w:numId="6" w16cid:durableId="780147602">
    <w:abstractNumId w:val="6"/>
  </w:num>
  <w:num w:numId="7" w16cid:durableId="1637642341">
    <w:abstractNumId w:val="2"/>
  </w:num>
  <w:num w:numId="8" w16cid:durableId="638456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2D1"/>
    <w:rsid w:val="00005442"/>
    <w:rsid w:val="00012C2C"/>
    <w:rsid w:val="00014FA4"/>
    <w:rsid w:val="00024D1C"/>
    <w:rsid w:val="00037190"/>
    <w:rsid w:val="0005553D"/>
    <w:rsid w:val="00077C56"/>
    <w:rsid w:val="00081B80"/>
    <w:rsid w:val="00081BB2"/>
    <w:rsid w:val="00090FB4"/>
    <w:rsid w:val="00094D0D"/>
    <w:rsid w:val="000A502D"/>
    <w:rsid w:val="000A6670"/>
    <w:rsid w:val="000B4B3D"/>
    <w:rsid w:val="000C1AAC"/>
    <w:rsid w:val="000C7004"/>
    <w:rsid w:val="000D244A"/>
    <w:rsid w:val="000D566E"/>
    <w:rsid w:val="000E0F58"/>
    <w:rsid w:val="0010431A"/>
    <w:rsid w:val="00105A47"/>
    <w:rsid w:val="00127982"/>
    <w:rsid w:val="0013064A"/>
    <w:rsid w:val="001333E0"/>
    <w:rsid w:val="00134853"/>
    <w:rsid w:val="00147ECB"/>
    <w:rsid w:val="001745F2"/>
    <w:rsid w:val="00191FF9"/>
    <w:rsid w:val="0019529B"/>
    <w:rsid w:val="001A5B5F"/>
    <w:rsid w:val="001A7B20"/>
    <w:rsid w:val="001B00CD"/>
    <w:rsid w:val="001C0EF2"/>
    <w:rsid w:val="001E5B47"/>
    <w:rsid w:val="001E5C26"/>
    <w:rsid w:val="001F4FE2"/>
    <w:rsid w:val="00214D6D"/>
    <w:rsid w:val="00217EC1"/>
    <w:rsid w:val="00220983"/>
    <w:rsid w:val="00245369"/>
    <w:rsid w:val="00247B6D"/>
    <w:rsid w:val="00260DA3"/>
    <w:rsid w:val="002B220C"/>
    <w:rsid w:val="002C618F"/>
    <w:rsid w:val="002D201F"/>
    <w:rsid w:val="00322B7B"/>
    <w:rsid w:val="00323C3D"/>
    <w:rsid w:val="00335AE6"/>
    <w:rsid w:val="0033679E"/>
    <w:rsid w:val="003460DD"/>
    <w:rsid w:val="00357CD9"/>
    <w:rsid w:val="00376A0F"/>
    <w:rsid w:val="0039208A"/>
    <w:rsid w:val="003C23EB"/>
    <w:rsid w:val="003C6C0A"/>
    <w:rsid w:val="003D5753"/>
    <w:rsid w:val="003E1818"/>
    <w:rsid w:val="003E2767"/>
    <w:rsid w:val="003F0ABD"/>
    <w:rsid w:val="00413169"/>
    <w:rsid w:val="004168FE"/>
    <w:rsid w:val="004355F0"/>
    <w:rsid w:val="004376E9"/>
    <w:rsid w:val="004426BF"/>
    <w:rsid w:val="00453F27"/>
    <w:rsid w:val="00455366"/>
    <w:rsid w:val="00460EF2"/>
    <w:rsid w:val="004646D4"/>
    <w:rsid w:val="00470E91"/>
    <w:rsid w:val="00474E9E"/>
    <w:rsid w:val="00485B51"/>
    <w:rsid w:val="0048730B"/>
    <w:rsid w:val="004D27E7"/>
    <w:rsid w:val="004D30FE"/>
    <w:rsid w:val="004F0AC5"/>
    <w:rsid w:val="004F0CD2"/>
    <w:rsid w:val="004F3F6A"/>
    <w:rsid w:val="00503540"/>
    <w:rsid w:val="005368D0"/>
    <w:rsid w:val="00546D45"/>
    <w:rsid w:val="0054729B"/>
    <w:rsid w:val="005561DD"/>
    <w:rsid w:val="00560B7D"/>
    <w:rsid w:val="00562182"/>
    <w:rsid w:val="00564068"/>
    <w:rsid w:val="00567933"/>
    <w:rsid w:val="00577EBA"/>
    <w:rsid w:val="00581005"/>
    <w:rsid w:val="00581773"/>
    <w:rsid w:val="00590C13"/>
    <w:rsid w:val="005D32DF"/>
    <w:rsid w:val="005E450D"/>
    <w:rsid w:val="006018D0"/>
    <w:rsid w:val="0061281E"/>
    <w:rsid w:val="00656C9A"/>
    <w:rsid w:val="006B19DC"/>
    <w:rsid w:val="006D439C"/>
    <w:rsid w:val="006E1DCE"/>
    <w:rsid w:val="006F08BB"/>
    <w:rsid w:val="006F2235"/>
    <w:rsid w:val="006F535D"/>
    <w:rsid w:val="006F70B6"/>
    <w:rsid w:val="00702926"/>
    <w:rsid w:val="007257A8"/>
    <w:rsid w:val="00725EA8"/>
    <w:rsid w:val="0075655A"/>
    <w:rsid w:val="007674D1"/>
    <w:rsid w:val="007813E3"/>
    <w:rsid w:val="00791E38"/>
    <w:rsid w:val="00797218"/>
    <w:rsid w:val="007A4D1A"/>
    <w:rsid w:val="007A7CB4"/>
    <w:rsid w:val="007C1319"/>
    <w:rsid w:val="007D1637"/>
    <w:rsid w:val="007F3251"/>
    <w:rsid w:val="007F3F75"/>
    <w:rsid w:val="0085268B"/>
    <w:rsid w:val="00860B6A"/>
    <w:rsid w:val="00865BE5"/>
    <w:rsid w:val="008706A8"/>
    <w:rsid w:val="00873DE8"/>
    <w:rsid w:val="008A56AD"/>
    <w:rsid w:val="008B2696"/>
    <w:rsid w:val="008B42EB"/>
    <w:rsid w:val="008C5DBA"/>
    <w:rsid w:val="008D2BC7"/>
    <w:rsid w:val="008D47C6"/>
    <w:rsid w:val="008E485F"/>
    <w:rsid w:val="008F2207"/>
    <w:rsid w:val="008F66E8"/>
    <w:rsid w:val="00901AD1"/>
    <w:rsid w:val="00914805"/>
    <w:rsid w:val="0092540E"/>
    <w:rsid w:val="00930FF4"/>
    <w:rsid w:val="00934FAB"/>
    <w:rsid w:val="00954F1C"/>
    <w:rsid w:val="00970015"/>
    <w:rsid w:val="009763F0"/>
    <w:rsid w:val="00976E4E"/>
    <w:rsid w:val="009775E7"/>
    <w:rsid w:val="00985A88"/>
    <w:rsid w:val="00996756"/>
    <w:rsid w:val="009A0D70"/>
    <w:rsid w:val="009B597C"/>
    <w:rsid w:val="009C173D"/>
    <w:rsid w:val="009C20A9"/>
    <w:rsid w:val="009C39DF"/>
    <w:rsid w:val="009D310D"/>
    <w:rsid w:val="009E6978"/>
    <w:rsid w:val="00A054AB"/>
    <w:rsid w:val="00A117F0"/>
    <w:rsid w:val="00A2710D"/>
    <w:rsid w:val="00A27937"/>
    <w:rsid w:val="00A43260"/>
    <w:rsid w:val="00A44ACD"/>
    <w:rsid w:val="00A52DB9"/>
    <w:rsid w:val="00A872A8"/>
    <w:rsid w:val="00AA0110"/>
    <w:rsid w:val="00AA5949"/>
    <w:rsid w:val="00AA6CC7"/>
    <w:rsid w:val="00AC19D4"/>
    <w:rsid w:val="00AD0031"/>
    <w:rsid w:val="00AE16E0"/>
    <w:rsid w:val="00AE2691"/>
    <w:rsid w:val="00B13995"/>
    <w:rsid w:val="00B147E0"/>
    <w:rsid w:val="00B179D9"/>
    <w:rsid w:val="00B40E65"/>
    <w:rsid w:val="00B602FA"/>
    <w:rsid w:val="00B72F70"/>
    <w:rsid w:val="00B81178"/>
    <w:rsid w:val="00B84CE8"/>
    <w:rsid w:val="00B86932"/>
    <w:rsid w:val="00B9018A"/>
    <w:rsid w:val="00BA585B"/>
    <w:rsid w:val="00BD294B"/>
    <w:rsid w:val="00C00761"/>
    <w:rsid w:val="00C11AAD"/>
    <w:rsid w:val="00C34476"/>
    <w:rsid w:val="00C70A61"/>
    <w:rsid w:val="00C7694F"/>
    <w:rsid w:val="00C83D55"/>
    <w:rsid w:val="00C86CC5"/>
    <w:rsid w:val="00C94D6E"/>
    <w:rsid w:val="00C95818"/>
    <w:rsid w:val="00CA72D1"/>
    <w:rsid w:val="00CC341B"/>
    <w:rsid w:val="00CE06D9"/>
    <w:rsid w:val="00D0461B"/>
    <w:rsid w:val="00D076E3"/>
    <w:rsid w:val="00D10404"/>
    <w:rsid w:val="00D143B3"/>
    <w:rsid w:val="00D162F8"/>
    <w:rsid w:val="00D1771A"/>
    <w:rsid w:val="00D20DD9"/>
    <w:rsid w:val="00D244D1"/>
    <w:rsid w:val="00D26AA9"/>
    <w:rsid w:val="00D30670"/>
    <w:rsid w:val="00D335DD"/>
    <w:rsid w:val="00D46C99"/>
    <w:rsid w:val="00D5428A"/>
    <w:rsid w:val="00D63338"/>
    <w:rsid w:val="00D7399E"/>
    <w:rsid w:val="00D7707E"/>
    <w:rsid w:val="00D805EC"/>
    <w:rsid w:val="00D859BE"/>
    <w:rsid w:val="00DA4F94"/>
    <w:rsid w:val="00DA65CE"/>
    <w:rsid w:val="00DA7DA1"/>
    <w:rsid w:val="00DC1EAC"/>
    <w:rsid w:val="00DD70BB"/>
    <w:rsid w:val="00E257DB"/>
    <w:rsid w:val="00E43D2E"/>
    <w:rsid w:val="00E50439"/>
    <w:rsid w:val="00E56B19"/>
    <w:rsid w:val="00E640B2"/>
    <w:rsid w:val="00E712E6"/>
    <w:rsid w:val="00E7252E"/>
    <w:rsid w:val="00E86279"/>
    <w:rsid w:val="00EB2FF3"/>
    <w:rsid w:val="00EB7E35"/>
    <w:rsid w:val="00EC15EB"/>
    <w:rsid w:val="00EC182E"/>
    <w:rsid w:val="00EC495B"/>
    <w:rsid w:val="00ED2EFC"/>
    <w:rsid w:val="00F06904"/>
    <w:rsid w:val="00F104C4"/>
    <w:rsid w:val="00F12C7C"/>
    <w:rsid w:val="00F25104"/>
    <w:rsid w:val="00F3763B"/>
    <w:rsid w:val="00F44274"/>
    <w:rsid w:val="00F44ADE"/>
    <w:rsid w:val="00F454FF"/>
    <w:rsid w:val="00F566FB"/>
    <w:rsid w:val="00F66343"/>
    <w:rsid w:val="00F702FC"/>
    <w:rsid w:val="00F906BD"/>
    <w:rsid w:val="00F9286A"/>
    <w:rsid w:val="00F97C11"/>
    <w:rsid w:val="00FA1296"/>
    <w:rsid w:val="00FC15A4"/>
    <w:rsid w:val="00FC1D88"/>
    <w:rsid w:val="00FD10EE"/>
    <w:rsid w:val="00FE0331"/>
    <w:rsid w:val="00FE135B"/>
    <w:rsid w:val="00FE4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6FD9F"/>
  <w15:chartTrackingRefBased/>
  <w15:docId w15:val="{C7FCB56E-F454-4681-847A-E7B0D1FE1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2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540"/>
    <w:pPr>
      <w:ind w:left="720"/>
      <w:contextualSpacing/>
    </w:pPr>
  </w:style>
  <w:style w:type="paragraph" w:customStyle="1" w:styleId="Default">
    <w:name w:val="Default"/>
    <w:rsid w:val="00F3763B"/>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0E0F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693</TotalTime>
  <Pages>7</Pages>
  <Words>2533</Words>
  <Characters>14442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Holden, Sheila</dc:creator>
  <cp:keywords/>
  <dc:description/>
  <cp:lastModifiedBy>Holden, Sheila</cp:lastModifiedBy>
  <cp:revision>226</cp:revision>
  <cp:lastPrinted>2024-02-06T11:39:00Z</cp:lastPrinted>
  <dcterms:created xsi:type="dcterms:W3CDTF">2024-02-05T09:14:00Z</dcterms:created>
  <dcterms:modified xsi:type="dcterms:W3CDTF">2024-02-06T12:42:00Z</dcterms:modified>
</cp:coreProperties>
</file>