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CA79" w14:textId="4EF41C42" w:rsidR="002F28CE" w:rsidRPr="00206B0F" w:rsidRDefault="00FE22B0" w:rsidP="00105548">
      <w:pPr>
        <w:pStyle w:val="Bullet3"/>
        <w:numPr>
          <w:ilvl w:val="0"/>
          <w:numId w:val="0"/>
        </w:numPr>
        <w:rPr>
          <w:rFonts w:eastAsia="Verdana"/>
          <w:b/>
          <w:sz w:val="32"/>
          <w:szCs w:val="32"/>
        </w:rPr>
      </w:pPr>
      <w:r w:rsidRPr="00DA2424">
        <w:rPr>
          <w:rFonts w:eastAsia="Verdana"/>
          <w:b/>
        </w:rPr>
        <w:t xml:space="preserve">LANDSCAPE </w:t>
      </w:r>
      <w:r w:rsidR="002F28CE" w:rsidRPr="00DA2424">
        <w:rPr>
          <w:rFonts w:eastAsia="Verdana"/>
          <w:b/>
        </w:rPr>
        <w:t>STATEMENT OF COM</w:t>
      </w:r>
      <w:r w:rsidR="002F28CE" w:rsidRPr="00DA2424">
        <w:rPr>
          <w:rFonts w:eastAsia="Verdana"/>
          <w:b/>
          <w:spacing w:val="-1"/>
        </w:rPr>
        <w:t>M</w:t>
      </w:r>
      <w:r w:rsidR="002F28CE" w:rsidRPr="00DA2424">
        <w:rPr>
          <w:rFonts w:eastAsia="Verdana"/>
          <w:b/>
        </w:rPr>
        <w:t>ON G</w:t>
      </w:r>
      <w:r w:rsidR="002F28CE" w:rsidRPr="00DA2424">
        <w:rPr>
          <w:rFonts w:eastAsia="Verdana"/>
          <w:b/>
          <w:spacing w:val="-1"/>
        </w:rPr>
        <w:t>R</w:t>
      </w:r>
      <w:r w:rsidR="002F28CE" w:rsidRPr="00DA2424">
        <w:rPr>
          <w:rFonts w:eastAsia="Verdana"/>
          <w:b/>
        </w:rPr>
        <w:t>O</w:t>
      </w:r>
      <w:r w:rsidR="002F28CE" w:rsidRPr="00DA2424">
        <w:rPr>
          <w:rFonts w:eastAsia="Verdana"/>
          <w:b/>
          <w:spacing w:val="-1"/>
        </w:rPr>
        <w:t>U</w:t>
      </w:r>
      <w:r w:rsidR="00250901" w:rsidRPr="00DA2424">
        <w:rPr>
          <w:rFonts w:eastAsia="Verdana"/>
          <w:b/>
        </w:rPr>
        <w:t xml:space="preserve">ND </w:t>
      </w:r>
      <w:r w:rsidR="00206B0F">
        <w:rPr>
          <w:rFonts w:eastAsia="Verdana"/>
          <w:b/>
        </w:rPr>
        <w:tab/>
      </w:r>
      <w:r w:rsidR="00206B0F">
        <w:rPr>
          <w:rFonts w:eastAsia="Verdana"/>
          <w:b/>
        </w:rPr>
        <w:tab/>
      </w:r>
      <w:r w:rsidR="008845CC">
        <w:rPr>
          <w:rFonts w:eastAsia="Verdana"/>
          <w:b/>
        </w:rPr>
        <w:t>Draft 0</w:t>
      </w:r>
      <w:r w:rsidR="00F07C0C">
        <w:rPr>
          <w:rFonts w:eastAsia="Verdana"/>
          <w:b/>
        </w:rPr>
        <w:t>9</w:t>
      </w:r>
      <w:r w:rsidR="003040EB" w:rsidRPr="00111AF9">
        <w:rPr>
          <w:rFonts w:eastAsia="Verdana"/>
          <w:b/>
        </w:rPr>
        <w:t>/</w:t>
      </w:r>
      <w:r w:rsidR="008845CC">
        <w:rPr>
          <w:rFonts w:eastAsia="Verdana"/>
          <w:b/>
        </w:rPr>
        <w:t>8</w:t>
      </w:r>
      <w:r w:rsidR="003040EB" w:rsidRPr="00111AF9">
        <w:rPr>
          <w:rFonts w:eastAsia="Verdana"/>
          <w:b/>
        </w:rPr>
        <w:t>/2023</w:t>
      </w:r>
    </w:p>
    <w:p w14:paraId="036154E2" w14:textId="77777777" w:rsidR="002F28CE" w:rsidRPr="00644A60" w:rsidRDefault="002F28CE" w:rsidP="002F28CE">
      <w:pPr>
        <w:spacing w:before="12" w:after="0" w:line="280" w:lineRule="exact"/>
        <w:rPr>
          <w:rFonts w:ascii="Century Gothic" w:hAnsi="Century Gothic"/>
          <w:sz w:val="28"/>
          <w:szCs w:val="28"/>
        </w:rPr>
      </w:pPr>
    </w:p>
    <w:p w14:paraId="48021C2C" w14:textId="77777777" w:rsidR="002F28CE" w:rsidRPr="00644A60" w:rsidRDefault="002F28CE" w:rsidP="002F28CE">
      <w:pPr>
        <w:spacing w:after="0" w:line="200" w:lineRule="exact"/>
        <w:rPr>
          <w:rFonts w:ascii="Century Gothic" w:hAnsi="Century Gothic"/>
          <w:sz w:val="20"/>
          <w:szCs w:val="20"/>
        </w:rPr>
      </w:pPr>
    </w:p>
    <w:p w14:paraId="13FF950F" w14:textId="7AF4E5A1" w:rsidR="0053430D" w:rsidRPr="00644A60" w:rsidRDefault="002F28CE" w:rsidP="002F28CE">
      <w:pPr>
        <w:spacing w:after="0" w:line="240" w:lineRule="auto"/>
        <w:ind w:right="-20"/>
        <w:rPr>
          <w:rFonts w:ascii="Century Gothic" w:eastAsia="Verdana" w:hAnsi="Century Gothic" w:cs="Verdana"/>
        </w:rPr>
      </w:pPr>
      <w:r w:rsidRPr="000A640A">
        <w:rPr>
          <w:rFonts w:ascii="Century Gothic" w:eastAsia="Verdana" w:hAnsi="Century Gothic" w:cs="Verdana"/>
          <w:b/>
          <w:bCs/>
        </w:rPr>
        <w:t xml:space="preserve">APPLICATION </w:t>
      </w:r>
      <w:r w:rsidR="00A177DE" w:rsidRPr="000A640A">
        <w:rPr>
          <w:rFonts w:ascii="Century Gothic" w:eastAsia="Verdana" w:hAnsi="Century Gothic" w:cs="Verdana"/>
          <w:b/>
          <w:bCs/>
        </w:rPr>
        <w:t>REFERENCE</w:t>
      </w:r>
      <w:r w:rsidR="00A177DE">
        <w:rPr>
          <w:rFonts w:ascii="Century Gothic" w:eastAsia="Verdana" w:hAnsi="Century Gothic" w:cs="Verdana"/>
          <w:b/>
          <w:bCs/>
        </w:rPr>
        <w:t>:</w:t>
      </w:r>
      <w:r w:rsidR="00A177DE" w:rsidRPr="00644A60">
        <w:rPr>
          <w:rFonts w:ascii="Century Gothic" w:eastAsia="Verdana" w:hAnsi="Century Gothic" w:cs="Verdana"/>
        </w:rPr>
        <w:t xml:space="preserve"> </w:t>
      </w:r>
      <w:r w:rsidR="00A177DE">
        <w:rPr>
          <w:rFonts w:ascii="Century Gothic" w:eastAsia="Verdana" w:hAnsi="Century Gothic" w:cs="Verdana"/>
        </w:rPr>
        <w:t>2</w:t>
      </w:r>
      <w:r w:rsidR="00F07C0C" w:rsidRPr="00F07C0C">
        <w:rPr>
          <w:rFonts w:ascii="Century Gothic" w:eastAsia="Verdana" w:hAnsi="Century Gothic" w:cs="Verdana"/>
        </w:rPr>
        <w:t>5/2022/1988</w:t>
      </w:r>
      <w:r w:rsidR="00F07C0C" w:rsidRPr="00A00D4C">
        <w:rPr>
          <w:rFonts w:ascii="Century Gothic" w:hAnsi="Century Gothic"/>
          <w:color w:val="7F7F7F" w:themeColor="text1" w:themeTint="80"/>
          <w:sz w:val="20"/>
          <w:szCs w:val="20"/>
        </w:rPr>
        <w:t xml:space="preserve">  </w:t>
      </w:r>
    </w:p>
    <w:p w14:paraId="4F062874" w14:textId="77777777" w:rsidR="0053430D" w:rsidRPr="00644A60" w:rsidRDefault="0053430D" w:rsidP="002F28CE">
      <w:pPr>
        <w:spacing w:after="0" w:line="240" w:lineRule="auto"/>
        <w:ind w:right="-20"/>
        <w:rPr>
          <w:rFonts w:ascii="Century Gothic" w:eastAsia="Verdana" w:hAnsi="Century Gothic" w:cs="Verdana"/>
        </w:rPr>
      </w:pPr>
    </w:p>
    <w:p w14:paraId="25CB9B10" w14:textId="1147C67B" w:rsidR="00F07C0C" w:rsidRPr="00E96453" w:rsidRDefault="00F07C0C" w:rsidP="00F07C0C">
      <w:pPr>
        <w:pStyle w:val="Default"/>
        <w:rPr>
          <w:rFonts w:ascii="Century Gothic" w:hAnsi="Century Gothic"/>
          <w:color w:val="7F7F7F" w:themeColor="text1" w:themeTint="80"/>
          <w:sz w:val="20"/>
          <w:szCs w:val="20"/>
        </w:rPr>
      </w:pPr>
      <w:r>
        <w:rPr>
          <w:rFonts w:ascii="Century Gothic" w:eastAsia="Verdana" w:hAnsi="Century Gothic" w:cs="Verdana"/>
          <w:b/>
          <w:bCs/>
        </w:rPr>
        <w:t>PINS</w:t>
      </w:r>
      <w:r w:rsidRPr="000A640A">
        <w:rPr>
          <w:rFonts w:ascii="Century Gothic" w:eastAsia="Verdana" w:hAnsi="Century Gothic" w:cs="Verdana"/>
          <w:b/>
          <w:bCs/>
        </w:rPr>
        <w:t xml:space="preserve"> </w:t>
      </w:r>
      <w:r w:rsidR="002F28CE" w:rsidRPr="000A640A">
        <w:rPr>
          <w:rFonts w:ascii="Century Gothic" w:eastAsia="Verdana" w:hAnsi="Century Gothic" w:cs="Verdana"/>
          <w:b/>
          <w:bCs/>
        </w:rPr>
        <w:t>REFERENCE</w:t>
      </w:r>
      <w:r w:rsidR="00A177DE">
        <w:rPr>
          <w:rFonts w:ascii="Century Gothic" w:eastAsia="Verdana" w:hAnsi="Century Gothic" w:cs="Verdana"/>
          <w:b/>
          <w:bCs/>
        </w:rPr>
        <w:t>:</w:t>
      </w:r>
      <w:r w:rsidR="0053430D" w:rsidRPr="00644A60">
        <w:rPr>
          <w:rFonts w:ascii="Century Gothic" w:eastAsia="Verdana" w:hAnsi="Century Gothic" w:cs="Verdana"/>
        </w:rPr>
        <w:t xml:space="preserve"> </w:t>
      </w:r>
      <w:r w:rsidRPr="00F07C0C">
        <w:rPr>
          <w:rFonts w:ascii="Century Gothic" w:eastAsia="Verdana" w:hAnsi="Century Gothic" w:cs="Verdana"/>
        </w:rPr>
        <w:t xml:space="preserve">APP/B1930/W/23/3323099 </w:t>
      </w:r>
    </w:p>
    <w:p w14:paraId="3A4AD956" w14:textId="0F0889EF" w:rsidR="002F28CE" w:rsidRPr="00644A60" w:rsidRDefault="002F28CE" w:rsidP="002F28CE">
      <w:pPr>
        <w:spacing w:after="0" w:line="240" w:lineRule="auto"/>
        <w:ind w:right="-20"/>
        <w:rPr>
          <w:rFonts w:ascii="Century Gothic" w:eastAsia="Verdana" w:hAnsi="Century Gothic" w:cs="Verdana"/>
        </w:rPr>
      </w:pPr>
    </w:p>
    <w:p w14:paraId="648080FF" w14:textId="77777777" w:rsidR="002F28CE" w:rsidRPr="00644A60" w:rsidRDefault="002F28CE" w:rsidP="002F28CE">
      <w:pPr>
        <w:spacing w:before="13" w:after="0" w:line="280" w:lineRule="exact"/>
        <w:rPr>
          <w:rFonts w:ascii="Century Gothic" w:hAnsi="Century Gothic"/>
        </w:rPr>
      </w:pPr>
    </w:p>
    <w:p w14:paraId="3C97E84E" w14:textId="6752DFB8" w:rsidR="007E00D0" w:rsidRDefault="002F28CE" w:rsidP="00A177DE">
      <w:pPr>
        <w:spacing w:after="0" w:line="240" w:lineRule="auto"/>
        <w:ind w:right="-20"/>
        <w:rPr>
          <w:rFonts w:ascii="Century Gothic" w:eastAsia="Verdana" w:hAnsi="Century Gothic" w:cs="Verdana"/>
          <w:b/>
          <w:bCs/>
        </w:rPr>
      </w:pPr>
      <w:r w:rsidRPr="000A640A">
        <w:rPr>
          <w:rFonts w:ascii="Century Gothic" w:eastAsia="Verdana" w:hAnsi="Century Gothic" w:cs="Verdana"/>
          <w:b/>
          <w:bCs/>
        </w:rPr>
        <w:t>SITE ADDRESS AND DESCRIP</w:t>
      </w:r>
      <w:r w:rsidRPr="000A640A">
        <w:rPr>
          <w:rFonts w:ascii="Century Gothic" w:eastAsia="Verdana" w:hAnsi="Century Gothic" w:cs="Verdana"/>
          <w:b/>
          <w:bCs/>
          <w:spacing w:val="-1"/>
        </w:rPr>
        <w:t>T</w:t>
      </w:r>
      <w:r w:rsidRPr="000A640A">
        <w:rPr>
          <w:rFonts w:ascii="Century Gothic" w:eastAsia="Verdana" w:hAnsi="Century Gothic" w:cs="Verdana"/>
          <w:b/>
          <w:bCs/>
        </w:rPr>
        <w:t>ION OF DEVELOPMENT</w:t>
      </w:r>
      <w:r w:rsidR="00A177DE">
        <w:rPr>
          <w:rFonts w:ascii="Century Gothic" w:eastAsia="Verdana" w:hAnsi="Century Gothic" w:cs="Verdana"/>
          <w:b/>
          <w:bCs/>
        </w:rPr>
        <w:t>:</w:t>
      </w:r>
    </w:p>
    <w:p w14:paraId="689C7ECD" w14:textId="77777777" w:rsidR="007E00D0" w:rsidRDefault="007E00D0" w:rsidP="00A177DE">
      <w:pPr>
        <w:spacing w:after="0" w:line="240" w:lineRule="auto"/>
        <w:ind w:right="-20"/>
        <w:rPr>
          <w:rFonts w:ascii="Century Gothic" w:eastAsia="Verdana" w:hAnsi="Century Gothic" w:cs="Verdana"/>
          <w:b/>
          <w:bCs/>
        </w:rPr>
      </w:pPr>
    </w:p>
    <w:p w14:paraId="0C4DFE3A" w14:textId="5D60E982" w:rsidR="00F07C0C" w:rsidRDefault="0053430D" w:rsidP="00F07C0C">
      <w:pPr>
        <w:rPr>
          <w:rFonts w:ascii="Century Gothic" w:hAnsi="Century Gothic"/>
          <w:color w:val="7F7F7F" w:themeColor="text1" w:themeTint="80"/>
        </w:rPr>
      </w:pPr>
      <w:r w:rsidRPr="00644A60">
        <w:rPr>
          <w:rFonts w:ascii="Century Gothic" w:hAnsi="Century Gothic"/>
        </w:rPr>
        <w:t>Land</w:t>
      </w:r>
      <w:r w:rsidR="00DF75FA">
        <w:rPr>
          <w:rFonts w:ascii="Century Gothic" w:hAnsi="Century Gothic"/>
        </w:rPr>
        <w:t xml:space="preserve"> </w:t>
      </w:r>
      <w:r w:rsidR="00F07C0C" w:rsidRPr="00F07C0C">
        <w:rPr>
          <w:rFonts w:ascii="Century Gothic" w:hAnsi="Century Gothic"/>
          <w:color w:val="7F7F7F" w:themeColor="text1" w:themeTint="80"/>
        </w:rPr>
        <w:t xml:space="preserve"> </w:t>
      </w:r>
      <w:r w:rsidR="00F07C0C" w:rsidRPr="00091DB6">
        <w:rPr>
          <w:rFonts w:ascii="Century Gothic" w:hAnsi="Century Gothic"/>
        </w:rPr>
        <w:t>to the rear of 42 -100 Tollgate Road, Colney Heath</w:t>
      </w:r>
    </w:p>
    <w:p w14:paraId="23A498D4" w14:textId="0053D6A5" w:rsidR="000912C0" w:rsidRPr="000912C0" w:rsidRDefault="000912C0" w:rsidP="000912C0">
      <w:pPr>
        <w:rPr>
          <w:rFonts w:ascii="Century Gothic" w:hAnsi="Century Gothic"/>
          <w:i/>
          <w:iCs/>
        </w:rPr>
      </w:pPr>
      <w:r w:rsidRPr="000912C0">
        <w:rPr>
          <w:rFonts w:ascii="Century Gothic" w:hAnsi="Century Gothic"/>
          <w:i/>
          <w:iCs/>
        </w:rPr>
        <w:t>Outline application (access sought) - Demolition of existing house and stables and the construction of up to 150 dwellings including affordable and self-build and custom housebuilding dwellings tog</w:t>
      </w:r>
      <w:r>
        <w:rPr>
          <w:rFonts w:ascii="Century Gothic" w:hAnsi="Century Gothic"/>
          <w:i/>
          <w:iCs/>
        </w:rPr>
        <w:t>ether with all ancillary works</w:t>
      </w:r>
      <w:r w:rsidRPr="000912C0">
        <w:rPr>
          <w:rFonts w:ascii="Century Gothic" w:hAnsi="Century Gothic"/>
        </w:rPr>
        <w:t>.</w:t>
      </w:r>
    </w:p>
    <w:p w14:paraId="1E8B2034" w14:textId="77777777" w:rsidR="000912C0" w:rsidRDefault="000912C0" w:rsidP="00F07C0C">
      <w:pPr>
        <w:rPr>
          <w:rFonts w:ascii="Century Gothic" w:hAnsi="Century Gothic"/>
        </w:rPr>
      </w:pPr>
    </w:p>
    <w:p w14:paraId="3FBB91AC" w14:textId="271EBB68" w:rsidR="00644A60" w:rsidRPr="007E00D0" w:rsidRDefault="00644A60" w:rsidP="00F07C0C">
      <w:pPr>
        <w:spacing w:after="0" w:line="240" w:lineRule="auto"/>
        <w:ind w:right="-20"/>
        <w:rPr>
          <w:rFonts w:ascii="Century Gothic" w:hAnsi="Century Gothic"/>
          <w:b/>
          <w:bCs/>
          <w:caps/>
        </w:rPr>
      </w:pPr>
    </w:p>
    <w:p w14:paraId="67589924" w14:textId="1FA5C9E8" w:rsidR="002F28CE" w:rsidRPr="00644A60" w:rsidRDefault="002F28CE" w:rsidP="002F28CE">
      <w:pPr>
        <w:spacing w:after="0" w:line="240" w:lineRule="auto"/>
        <w:ind w:right="-20"/>
        <w:rPr>
          <w:rFonts w:ascii="Century Gothic" w:eastAsia="Verdana" w:hAnsi="Century Gothic" w:cs="Verdana"/>
        </w:rPr>
      </w:pPr>
      <w:r w:rsidRPr="000A640A">
        <w:rPr>
          <w:rFonts w:ascii="Century Gothic" w:eastAsia="Verdana" w:hAnsi="Century Gothic" w:cs="Verdana"/>
          <w:b/>
          <w:bCs/>
        </w:rPr>
        <w:t>APPELLANT</w:t>
      </w:r>
      <w:r w:rsidR="0053430D" w:rsidRPr="00644A60">
        <w:rPr>
          <w:rFonts w:ascii="Century Gothic" w:eastAsia="Verdana" w:hAnsi="Century Gothic" w:cs="Verdana"/>
        </w:rPr>
        <w:t>:</w:t>
      </w:r>
      <w:r w:rsidRPr="00644A60">
        <w:rPr>
          <w:rFonts w:ascii="Century Gothic" w:eastAsia="Verdana" w:hAnsi="Century Gothic" w:cs="Verdana"/>
        </w:rPr>
        <w:t xml:space="preserve"> </w:t>
      </w:r>
      <w:proofErr w:type="spellStart"/>
      <w:r w:rsidR="00F07C0C">
        <w:rPr>
          <w:rFonts w:ascii="Century Gothic" w:eastAsia="Verdana" w:hAnsi="Century Gothic" w:cs="Verdana"/>
        </w:rPr>
        <w:t>Vistry</w:t>
      </w:r>
      <w:proofErr w:type="spellEnd"/>
      <w:r w:rsidR="00F07C0C">
        <w:rPr>
          <w:rFonts w:ascii="Century Gothic" w:eastAsia="Verdana" w:hAnsi="Century Gothic" w:cs="Verdana"/>
        </w:rPr>
        <w:t xml:space="preserve"> Homes </w:t>
      </w:r>
      <w:r w:rsidR="00E37859">
        <w:rPr>
          <w:rFonts w:ascii="Century Gothic" w:eastAsia="Verdana" w:hAnsi="Century Gothic" w:cs="Verdana"/>
        </w:rPr>
        <w:t>Ltd</w:t>
      </w:r>
    </w:p>
    <w:p w14:paraId="4CF7EA9F" w14:textId="77777777" w:rsidR="002F28CE" w:rsidRPr="00644A60" w:rsidRDefault="002F28CE" w:rsidP="00C86E02">
      <w:pPr>
        <w:pStyle w:val="NoSpacing"/>
        <w:numPr>
          <w:ilvl w:val="0"/>
          <w:numId w:val="0"/>
        </w:numPr>
        <w:ind w:left="786"/>
        <w:rPr>
          <w:rFonts w:eastAsia="Verdana" w:cs="Verdana"/>
        </w:rPr>
      </w:pPr>
    </w:p>
    <w:p w14:paraId="5DF0A8DB" w14:textId="39046E49" w:rsidR="002F28CE" w:rsidRPr="00644A60" w:rsidRDefault="002F28CE" w:rsidP="002F28CE">
      <w:pPr>
        <w:spacing w:after="0" w:line="240" w:lineRule="auto"/>
        <w:ind w:right="-20"/>
        <w:rPr>
          <w:rFonts w:ascii="Verdana" w:hAnsi="Verdana"/>
        </w:rPr>
      </w:pPr>
      <w:r w:rsidRPr="000A640A">
        <w:rPr>
          <w:rFonts w:ascii="Century Gothic" w:eastAsia="Verdana" w:hAnsi="Century Gothic" w:cs="Verdana"/>
          <w:b/>
          <w:bCs/>
        </w:rPr>
        <w:t>LOCAL PLANNING AUTHORITY</w:t>
      </w:r>
      <w:r w:rsidR="0053430D" w:rsidRPr="00644A60">
        <w:rPr>
          <w:rFonts w:ascii="Century Gothic" w:eastAsia="Verdana" w:hAnsi="Century Gothic" w:cs="Verdana"/>
        </w:rPr>
        <w:t>:</w:t>
      </w:r>
      <w:r w:rsidRPr="00644A60">
        <w:rPr>
          <w:rFonts w:ascii="Century Gothic" w:eastAsia="Verdana" w:hAnsi="Century Gothic" w:cs="Verdana"/>
        </w:rPr>
        <w:t xml:space="preserve"> </w:t>
      </w:r>
      <w:r w:rsidR="00E37859">
        <w:rPr>
          <w:rFonts w:ascii="Century Gothic" w:eastAsia="Verdana" w:hAnsi="Century Gothic" w:cs="Verdana"/>
        </w:rPr>
        <w:t xml:space="preserve"> </w:t>
      </w:r>
      <w:r w:rsidR="009F1990">
        <w:rPr>
          <w:rFonts w:ascii="Century Gothic" w:eastAsia="Verdana" w:hAnsi="Century Gothic" w:cs="Verdana"/>
        </w:rPr>
        <w:t xml:space="preserve">St Albans City District </w:t>
      </w:r>
      <w:r w:rsidR="00644A60" w:rsidRPr="00644A60">
        <w:rPr>
          <w:rFonts w:ascii="Century Gothic" w:eastAsia="Verdana" w:hAnsi="Century Gothic" w:cs="Verdana"/>
        </w:rPr>
        <w:t>Council</w:t>
      </w:r>
    </w:p>
    <w:p w14:paraId="748AC441" w14:textId="77777777" w:rsidR="002F28CE" w:rsidRDefault="002F28CE"/>
    <w:p w14:paraId="0A97E4A2" w14:textId="77777777" w:rsidR="00644A60" w:rsidRDefault="00644A60" w:rsidP="00644A60">
      <w:pPr>
        <w:pStyle w:val="Heading1"/>
        <w:keepNext/>
        <w:widowControl/>
        <w:numPr>
          <w:ilvl w:val="0"/>
          <w:numId w:val="0"/>
        </w:numPr>
        <w:spacing w:before="120" w:after="120" w:line="240" w:lineRule="auto"/>
        <w:ind w:left="1151" w:hanging="1151"/>
        <w:rPr>
          <w:rFonts w:ascii="Century Gothic" w:hAnsi="Century Gothic"/>
          <w:b/>
          <w:bCs/>
          <w:sz w:val="22"/>
          <w:szCs w:val="22"/>
        </w:rPr>
      </w:pPr>
      <w:bookmarkStart w:id="0" w:name="_Toc80371603"/>
      <w:bookmarkStart w:id="1" w:name="_Toc76017982"/>
      <w:bookmarkStart w:id="2" w:name="_Toc48052115"/>
      <w:r w:rsidRPr="00644A60">
        <w:rPr>
          <w:rFonts w:ascii="Century Gothic" w:hAnsi="Century Gothic"/>
          <w:b/>
          <w:bCs/>
          <w:sz w:val="22"/>
          <w:szCs w:val="22"/>
        </w:rPr>
        <w:t>INTRODUCTION</w:t>
      </w:r>
      <w:bookmarkEnd w:id="0"/>
      <w:bookmarkEnd w:id="1"/>
      <w:bookmarkEnd w:id="2"/>
    </w:p>
    <w:p w14:paraId="002AC770" w14:textId="77777777" w:rsidR="00644A60" w:rsidRDefault="00644A60" w:rsidP="00C86E02">
      <w:pPr>
        <w:pStyle w:val="NoSpacing"/>
        <w:numPr>
          <w:ilvl w:val="0"/>
          <w:numId w:val="0"/>
        </w:numPr>
        <w:ind w:left="709"/>
      </w:pPr>
    </w:p>
    <w:p w14:paraId="745413FC" w14:textId="05E101EF" w:rsidR="004E4AE3" w:rsidRDefault="00644A60" w:rsidP="00C86E02">
      <w:pPr>
        <w:pStyle w:val="NoSpacing"/>
        <w:ind w:left="567" w:hanging="567"/>
      </w:pPr>
      <w:r>
        <w:t>This Statement of Common Ground (</w:t>
      </w:r>
      <w:proofErr w:type="spellStart"/>
      <w:r>
        <w:t>SoCG</w:t>
      </w:r>
      <w:proofErr w:type="spellEnd"/>
      <w:r>
        <w:t xml:space="preserve">) has been prepared by </w:t>
      </w:r>
      <w:r w:rsidR="00091DB6">
        <w:t xml:space="preserve">Clive Self of </w:t>
      </w:r>
      <w:r>
        <w:t xml:space="preserve">CSA Environmental, who </w:t>
      </w:r>
      <w:r w:rsidR="00091DB6">
        <w:t xml:space="preserve">is </w:t>
      </w:r>
      <w:r>
        <w:t>acting on behalf of the Appellant,</w:t>
      </w:r>
      <w:r w:rsidR="00FA6E91">
        <w:t xml:space="preserve"> and</w:t>
      </w:r>
      <w:r>
        <w:t xml:space="preserve"> </w:t>
      </w:r>
      <w:r w:rsidR="00E37859">
        <w:t xml:space="preserve"> </w:t>
      </w:r>
      <w:r w:rsidR="00F07C0C">
        <w:t xml:space="preserve">John Paul Friend </w:t>
      </w:r>
      <w:r>
        <w:t xml:space="preserve">who </w:t>
      </w:r>
      <w:r w:rsidR="007E00D0">
        <w:t xml:space="preserve">is </w:t>
      </w:r>
      <w:r>
        <w:t>acting on behalf of</w:t>
      </w:r>
      <w:r w:rsidR="00E37859">
        <w:t xml:space="preserve"> </w:t>
      </w:r>
      <w:r w:rsidR="00091DB6">
        <w:rPr>
          <w:rFonts w:eastAsia="Verdana" w:cs="Verdana"/>
        </w:rPr>
        <w:t xml:space="preserve">St Albans City and District </w:t>
      </w:r>
      <w:r w:rsidR="00E37859" w:rsidRPr="00644A60">
        <w:rPr>
          <w:rFonts w:eastAsia="Verdana" w:cs="Verdana"/>
        </w:rPr>
        <w:t>Council</w:t>
      </w:r>
      <w:r>
        <w:t>.</w:t>
      </w:r>
      <w:r w:rsidR="009F1990">
        <w:t xml:space="preserve"> Colney Parish Council have also </w:t>
      </w:r>
      <w:r w:rsidR="009E7E29">
        <w:t>add</w:t>
      </w:r>
      <w:r w:rsidR="000D00B8">
        <w:t>ed</w:t>
      </w:r>
      <w:r w:rsidR="009E7E29">
        <w:t xml:space="preserve"> </w:t>
      </w:r>
      <w:r w:rsidR="009F1990">
        <w:t>their</w:t>
      </w:r>
      <w:r w:rsidR="009E7E29">
        <w:t xml:space="preserve"> observations</w:t>
      </w:r>
      <w:r w:rsidR="009F1990">
        <w:t>.</w:t>
      </w:r>
    </w:p>
    <w:p w14:paraId="052282E4" w14:textId="759D915A" w:rsidR="00E27BF5" w:rsidRDefault="002D1243" w:rsidP="00C86E02">
      <w:pPr>
        <w:pStyle w:val="NoSpacing"/>
        <w:ind w:left="567" w:hanging="567"/>
      </w:pPr>
      <w:r>
        <w:t xml:space="preserve">The </w:t>
      </w:r>
      <w:r w:rsidR="00866B72">
        <w:t>P</w:t>
      </w:r>
      <w:r>
        <w:t xml:space="preserve">lanning </w:t>
      </w:r>
      <w:proofErr w:type="spellStart"/>
      <w:r>
        <w:t>So</w:t>
      </w:r>
      <w:r w:rsidR="00E27BF5">
        <w:t>CG</w:t>
      </w:r>
      <w:proofErr w:type="spellEnd"/>
      <w:r w:rsidR="00E27BF5">
        <w:t xml:space="preserve"> provides an accurate description of the Appeal Site and the surrounding area and as such </w:t>
      </w:r>
      <w:r w:rsidR="00B4181B">
        <w:t xml:space="preserve">that description </w:t>
      </w:r>
      <w:r w:rsidR="00E27BF5">
        <w:t xml:space="preserve">is not repeated here. Similarly, the Planning </w:t>
      </w:r>
      <w:proofErr w:type="spellStart"/>
      <w:r w:rsidR="00E27BF5">
        <w:t>S</w:t>
      </w:r>
      <w:r>
        <w:t>o</w:t>
      </w:r>
      <w:r w:rsidR="00E27BF5">
        <w:t>CG</w:t>
      </w:r>
      <w:proofErr w:type="spellEnd"/>
      <w:r w:rsidR="00E27BF5">
        <w:t xml:space="preserve"> describes the nature and content of the application and policy background.</w:t>
      </w:r>
    </w:p>
    <w:p w14:paraId="2D5318BA" w14:textId="77777777" w:rsidR="001978B2" w:rsidRDefault="001978B2" w:rsidP="00C86E02">
      <w:pPr>
        <w:pStyle w:val="Heading1"/>
        <w:keepNext/>
        <w:widowControl/>
        <w:numPr>
          <w:ilvl w:val="0"/>
          <w:numId w:val="0"/>
        </w:numPr>
        <w:spacing w:before="120" w:after="120" w:line="240" w:lineRule="auto"/>
        <w:ind w:left="1151" w:hanging="1151"/>
        <w:rPr>
          <w:rFonts w:ascii="Century Gothic" w:hAnsi="Century Gothic"/>
          <w:b/>
          <w:bCs/>
          <w:sz w:val="22"/>
          <w:szCs w:val="22"/>
        </w:rPr>
      </w:pPr>
    </w:p>
    <w:p w14:paraId="71248485" w14:textId="2BAD8580" w:rsidR="00B4181B" w:rsidRPr="00C86E02" w:rsidRDefault="00C86E02" w:rsidP="00C86E02">
      <w:pPr>
        <w:pStyle w:val="Heading1"/>
        <w:keepNext/>
        <w:widowControl/>
        <w:numPr>
          <w:ilvl w:val="0"/>
          <w:numId w:val="0"/>
        </w:numPr>
        <w:spacing w:before="120" w:after="120" w:line="240" w:lineRule="auto"/>
        <w:ind w:left="1151" w:hanging="1151"/>
        <w:rPr>
          <w:rFonts w:ascii="Century Gothic" w:hAnsi="Century Gothic"/>
          <w:b/>
          <w:bCs/>
          <w:sz w:val="22"/>
          <w:szCs w:val="22"/>
        </w:rPr>
      </w:pPr>
      <w:r>
        <w:rPr>
          <w:rFonts w:ascii="Century Gothic" w:hAnsi="Century Gothic"/>
          <w:b/>
          <w:bCs/>
          <w:sz w:val="22"/>
          <w:szCs w:val="22"/>
        </w:rPr>
        <w:t xml:space="preserve">MATTERS ON WHICH THE PARTIES </w:t>
      </w:r>
      <w:r w:rsidR="00E27BF5" w:rsidRPr="00C86E02">
        <w:rPr>
          <w:rFonts w:ascii="Century Gothic" w:hAnsi="Century Gothic"/>
          <w:b/>
          <w:bCs/>
          <w:sz w:val="22"/>
          <w:szCs w:val="22"/>
        </w:rPr>
        <w:t>AGREE</w:t>
      </w:r>
      <w:r w:rsidR="00B4181B" w:rsidRPr="00C86E02">
        <w:rPr>
          <w:rFonts w:ascii="Century Gothic" w:hAnsi="Century Gothic"/>
          <w:b/>
          <w:bCs/>
          <w:sz w:val="22"/>
          <w:szCs w:val="22"/>
        </w:rPr>
        <w:t xml:space="preserve"> </w:t>
      </w:r>
    </w:p>
    <w:p w14:paraId="583FFE40" w14:textId="77777777" w:rsidR="001978B2" w:rsidRDefault="001978B2" w:rsidP="00C86E02">
      <w:pPr>
        <w:spacing w:line="276" w:lineRule="auto"/>
        <w:ind w:left="567"/>
        <w:rPr>
          <w:rFonts w:ascii="Century Gothic" w:hAnsi="Century Gothic"/>
          <w:b/>
        </w:rPr>
      </w:pPr>
    </w:p>
    <w:p w14:paraId="1E720A33" w14:textId="67E85CE0" w:rsidR="00B4181B" w:rsidRPr="00FF45BD" w:rsidRDefault="00B4181B" w:rsidP="00C86E02">
      <w:pPr>
        <w:spacing w:line="276" w:lineRule="auto"/>
        <w:ind w:left="567"/>
        <w:rPr>
          <w:rFonts w:ascii="Century Gothic" w:hAnsi="Century Gothic"/>
          <w:b/>
        </w:rPr>
      </w:pPr>
      <w:r w:rsidRPr="00FF45BD">
        <w:rPr>
          <w:rFonts w:ascii="Century Gothic" w:hAnsi="Century Gothic"/>
          <w:b/>
        </w:rPr>
        <w:t xml:space="preserve">The </w:t>
      </w:r>
      <w:r>
        <w:rPr>
          <w:rFonts w:ascii="Century Gothic" w:hAnsi="Century Gothic"/>
          <w:b/>
        </w:rPr>
        <w:t xml:space="preserve">submitted </w:t>
      </w:r>
      <w:proofErr w:type="gramStart"/>
      <w:r w:rsidRPr="00FF45BD">
        <w:rPr>
          <w:rFonts w:ascii="Century Gothic" w:hAnsi="Century Gothic"/>
          <w:b/>
        </w:rPr>
        <w:t>LVIA</w:t>
      </w:r>
      <w:proofErr w:type="gramEnd"/>
    </w:p>
    <w:p w14:paraId="17FE0120" w14:textId="77777777" w:rsidR="00B4181B" w:rsidRPr="00B4181B" w:rsidRDefault="00B4181B" w:rsidP="00C86E02">
      <w:pPr>
        <w:pStyle w:val="NoSpacing"/>
        <w:ind w:left="567" w:hanging="567"/>
      </w:pPr>
      <w:r w:rsidRPr="00B4181B">
        <w:t xml:space="preserve">The application was </w:t>
      </w:r>
      <w:r>
        <w:t>accompanied by a LVIA which, amongst other things, described the character of the Appeal Site and surrounding area. It also identified a series of representative viewpoints, from where the Site could be seen.</w:t>
      </w:r>
    </w:p>
    <w:p w14:paraId="067DDDC1" w14:textId="77777777" w:rsidR="00F377CC" w:rsidRPr="00C86E02" w:rsidRDefault="00F377CC" w:rsidP="00C86E02">
      <w:pPr>
        <w:pStyle w:val="NoSpacing"/>
        <w:ind w:left="567" w:hanging="567"/>
      </w:pPr>
      <w:r>
        <w:t>The Guidelines for Landscape and Visual Impact Assessments 3</w:t>
      </w:r>
      <w:r w:rsidRPr="00C86E02">
        <w:t>rd</w:t>
      </w:r>
      <w:r>
        <w:t xml:space="preserve"> edition (‘GLVIA3’) notes in section 2.23-25, that professional judgement is a very </w:t>
      </w:r>
      <w:r>
        <w:lastRenderedPageBreak/>
        <w:t>important part of LVIA, and that even with qualified and experienced professionals there can be differences in the judgements made.</w:t>
      </w:r>
    </w:p>
    <w:p w14:paraId="25B0E046" w14:textId="4A2E6446" w:rsidR="00B758AB" w:rsidRPr="00B758AB" w:rsidRDefault="00866B72" w:rsidP="00C86E02">
      <w:pPr>
        <w:pStyle w:val="NoSpacing"/>
        <w:ind w:left="567" w:hanging="567"/>
      </w:pPr>
      <w:r>
        <w:t xml:space="preserve">It is </w:t>
      </w:r>
      <w:r w:rsidR="00FE2F32">
        <w:t>agree</w:t>
      </w:r>
      <w:r>
        <w:t>d</w:t>
      </w:r>
      <w:r w:rsidR="00FE2F32">
        <w:t xml:space="preserve"> that t</w:t>
      </w:r>
      <w:r w:rsidR="00AB1359" w:rsidRPr="00B758AB">
        <w:t>he methodology used within the LVIA is in l</w:t>
      </w:r>
      <w:r w:rsidR="00683CC1">
        <w:t xml:space="preserve">ine with the guidance in </w:t>
      </w:r>
      <w:proofErr w:type="gramStart"/>
      <w:r w:rsidR="00683CC1">
        <w:t>GLVIA3, and</w:t>
      </w:r>
      <w:proofErr w:type="gramEnd"/>
      <w:r w:rsidR="00AB1359" w:rsidRPr="00B758AB">
        <w:t xml:space="preserve"> </w:t>
      </w:r>
      <w:r w:rsidR="008E248B">
        <w:t xml:space="preserve">is </w:t>
      </w:r>
      <w:r w:rsidR="00AB1359" w:rsidRPr="00B758AB">
        <w:t>acceptable.</w:t>
      </w:r>
      <w:r w:rsidR="00FE2F32">
        <w:t xml:space="preserve"> </w:t>
      </w:r>
    </w:p>
    <w:p w14:paraId="0D98A8E3" w14:textId="5B7BD139" w:rsidR="00AB1359" w:rsidRDefault="00AB1359" w:rsidP="00C104CD">
      <w:pPr>
        <w:pStyle w:val="NoSpacing"/>
        <w:ind w:left="567" w:hanging="567"/>
      </w:pPr>
      <w:r w:rsidRPr="00B758AB">
        <w:t>The LVIA contain</w:t>
      </w:r>
      <w:r w:rsidR="00E044A3">
        <w:t>s</w:t>
      </w:r>
      <w:r w:rsidRPr="00B758AB">
        <w:t xml:space="preserve"> a </w:t>
      </w:r>
      <w:r w:rsidR="00862B3E">
        <w:t>proportionate review</w:t>
      </w:r>
      <w:r w:rsidRPr="00B758AB">
        <w:t xml:space="preserve"> of local landscape character assessments and appraisals relevant to the Appeal Site.</w:t>
      </w:r>
    </w:p>
    <w:p w14:paraId="3493BC92" w14:textId="77777777" w:rsidR="008E248B" w:rsidRDefault="008E248B" w:rsidP="00C104CD">
      <w:pPr>
        <w:pStyle w:val="NoSpacing"/>
        <w:ind w:left="567" w:hanging="567"/>
      </w:pPr>
      <w:r w:rsidRPr="00A40480">
        <w:t>The viewpoints in the LVIA</w:t>
      </w:r>
      <w:r w:rsidR="00B4181B">
        <w:t xml:space="preserve"> </w:t>
      </w:r>
      <w:r w:rsidRPr="00A40480">
        <w:t xml:space="preserve">identify the key representative viewpoints from which the </w:t>
      </w:r>
      <w:r w:rsidR="0078569A" w:rsidRPr="00A40480">
        <w:t>Appeal S</w:t>
      </w:r>
      <w:r w:rsidRPr="00A40480">
        <w:t>ite should be</w:t>
      </w:r>
      <w:r w:rsidR="0078569A" w:rsidRPr="00A40480">
        <w:t xml:space="preserve"> considered.</w:t>
      </w:r>
    </w:p>
    <w:p w14:paraId="22B5F80B" w14:textId="54F049DC" w:rsidR="00B4181B" w:rsidRDefault="002F4153" w:rsidP="00C104CD">
      <w:pPr>
        <w:pStyle w:val="NoSpacing"/>
        <w:ind w:left="567" w:hanging="567"/>
      </w:pPr>
      <w:r>
        <w:t xml:space="preserve">Whilst acknowledging that the LVIA is </w:t>
      </w:r>
      <w:r w:rsidR="00FE2F32">
        <w:t>fit</w:t>
      </w:r>
      <w:r>
        <w:t xml:space="preserve"> for purpose, the parties disagree on a number of judgements that have been made in the document.</w:t>
      </w:r>
    </w:p>
    <w:p w14:paraId="39F99104" w14:textId="77777777" w:rsidR="002F4153" w:rsidRPr="002F4153" w:rsidRDefault="00A54CC8" w:rsidP="002F4153">
      <w:pPr>
        <w:pStyle w:val="NoSpacing"/>
        <w:numPr>
          <w:ilvl w:val="0"/>
          <w:numId w:val="0"/>
        </w:numPr>
        <w:ind w:left="360"/>
        <w:rPr>
          <w:b/>
        </w:rPr>
      </w:pPr>
      <w:r>
        <w:rPr>
          <w:b/>
        </w:rPr>
        <w:t xml:space="preserve">   </w:t>
      </w:r>
      <w:r w:rsidR="002F4153" w:rsidRPr="002F4153">
        <w:rPr>
          <w:b/>
        </w:rPr>
        <w:t>Designations</w:t>
      </w:r>
    </w:p>
    <w:p w14:paraId="7F8AC254" w14:textId="7A07AA4F" w:rsidR="000A640A" w:rsidRDefault="009913CF" w:rsidP="000A640A">
      <w:pPr>
        <w:pStyle w:val="NoSpacing"/>
        <w:ind w:left="567" w:hanging="567"/>
      </w:pPr>
      <w:r>
        <w:t xml:space="preserve">It is </w:t>
      </w:r>
      <w:r w:rsidR="000A640A">
        <w:t xml:space="preserve">agreed that the Site is not located within </w:t>
      </w:r>
      <w:r w:rsidR="007E00D0">
        <w:t>the</w:t>
      </w:r>
      <w:r w:rsidR="000A640A">
        <w:t xml:space="preserve"> defined settlement boundary of </w:t>
      </w:r>
      <w:r w:rsidR="005D7921">
        <w:t xml:space="preserve">Colney Heath </w:t>
      </w:r>
      <w:r w:rsidR="000A640A">
        <w:t xml:space="preserve">and therefore </w:t>
      </w:r>
      <w:r w:rsidR="00741B4C">
        <w:t xml:space="preserve">lies within the </w:t>
      </w:r>
      <w:r w:rsidR="000A640A">
        <w:t>“countryside” in planning policy terms.</w:t>
      </w:r>
      <w:r w:rsidR="00C12485">
        <w:t xml:space="preserve"> </w:t>
      </w:r>
      <w:r w:rsidR="00866B72">
        <w:t xml:space="preserve">It also lies within the Green Belt </w:t>
      </w:r>
      <w:r w:rsidR="00813C17">
        <w:t>which washes over</w:t>
      </w:r>
      <w:r w:rsidR="005D7921">
        <w:t xml:space="preserve"> Colney Heath</w:t>
      </w:r>
      <w:r w:rsidR="00813C17">
        <w:t>.</w:t>
      </w:r>
    </w:p>
    <w:p w14:paraId="641C7266" w14:textId="0670CF07" w:rsidR="00EA5F57" w:rsidRDefault="002F4153" w:rsidP="00C104CD">
      <w:pPr>
        <w:pStyle w:val="NoSpacing"/>
        <w:ind w:left="567" w:hanging="567"/>
      </w:pPr>
      <w:r>
        <w:t xml:space="preserve">The Site </w:t>
      </w:r>
      <w:r w:rsidR="007A4E69">
        <w:t>it</w:t>
      </w:r>
      <w:r w:rsidR="000A640A">
        <w:t>s</w:t>
      </w:r>
      <w:r w:rsidR="007A4E69">
        <w:t xml:space="preserve">elf </w:t>
      </w:r>
      <w:r>
        <w:t xml:space="preserve">does not carry any </w:t>
      </w:r>
      <w:r w:rsidR="005D7921">
        <w:t xml:space="preserve">statutory or </w:t>
      </w:r>
      <w:proofErr w:type="spellStart"/>
      <w:r w:rsidR="005D7921">
        <w:t>non statutory</w:t>
      </w:r>
      <w:proofErr w:type="spellEnd"/>
      <w:r w:rsidR="005D7921">
        <w:t xml:space="preserve"> </w:t>
      </w:r>
      <w:r>
        <w:t>landscape</w:t>
      </w:r>
      <w:r w:rsidR="005D7921">
        <w:t xml:space="preserve"> or heritage designations. </w:t>
      </w:r>
    </w:p>
    <w:p w14:paraId="77EDE053" w14:textId="0A1C95A8" w:rsidR="002F4153" w:rsidRDefault="005D7921" w:rsidP="00C104CD">
      <w:pPr>
        <w:pStyle w:val="NoSpacing"/>
        <w:ind w:left="567" w:hanging="567"/>
      </w:pPr>
      <w:r>
        <w:t xml:space="preserve">The western part of the Site forms part of the Colney Heath Farm Meadows Local Wildlife Site. It is agreed that the </w:t>
      </w:r>
      <w:r w:rsidR="000D00B8">
        <w:t>Appeal Scheme</w:t>
      </w:r>
      <w:r>
        <w:t xml:space="preserve"> will deliver BNG and that there are no ecological objections to the application from the statutory consultees.</w:t>
      </w:r>
    </w:p>
    <w:p w14:paraId="395EA573" w14:textId="5FC07E15" w:rsidR="009913CF" w:rsidRDefault="009913CF" w:rsidP="00C104CD">
      <w:pPr>
        <w:pStyle w:val="NoSpacing"/>
        <w:ind w:left="567" w:hanging="567"/>
      </w:pPr>
      <w:r>
        <w:t>The parties agree that the Site is not a Valued Landscape in respect of para 174a of the NPPF.</w:t>
      </w:r>
    </w:p>
    <w:p w14:paraId="4A5E6E2A" w14:textId="77777777" w:rsidR="00C86E02" w:rsidRPr="00C104CD" w:rsidRDefault="00C86E02" w:rsidP="002D1243">
      <w:pPr>
        <w:pStyle w:val="NoSpacing"/>
        <w:numPr>
          <w:ilvl w:val="0"/>
          <w:numId w:val="0"/>
        </w:numPr>
        <w:ind w:firstLine="567"/>
        <w:rPr>
          <w:b/>
        </w:rPr>
      </w:pPr>
      <w:r w:rsidRPr="00C104CD">
        <w:rPr>
          <w:b/>
        </w:rPr>
        <w:t>Visibility</w:t>
      </w:r>
    </w:p>
    <w:p w14:paraId="23B513D5" w14:textId="131D892B" w:rsidR="00C86E02" w:rsidRDefault="00C86E02" w:rsidP="00C104CD">
      <w:pPr>
        <w:pStyle w:val="NoSpacing"/>
        <w:ind w:left="567" w:hanging="567"/>
      </w:pPr>
      <w:r>
        <w:t xml:space="preserve">A suggested walking route for the </w:t>
      </w:r>
      <w:r w:rsidR="00C104CD">
        <w:t xml:space="preserve">Inspector is contained </w:t>
      </w:r>
      <w:r w:rsidR="00E4692A">
        <w:t xml:space="preserve">in </w:t>
      </w:r>
      <w:r w:rsidR="00E4692A" w:rsidRPr="000A640A">
        <w:rPr>
          <w:b/>
          <w:bCs/>
        </w:rPr>
        <w:t xml:space="preserve">Appendix </w:t>
      </w:r>
      <w:r w:rsidR="00F81292">
        <w:rPr>
          <w:b/>
          <w:bCs/>
        </w:rPr>
        <w:t>1</w:t>
      </w:r>
      <w:r w:rsidR="00E4692A" w:rsidRPr="000A640A">
        <w:rPr>
          <w:b/>
          <w:bCs/>
        </w:rPr>
        <w:t xml:space="preserve"> </w:t>
      </w:r>
      <w:r w:rsidR="00E4692A">
        <w:t xml:space="preserve">of this </w:t>
      </w:r>
      <w:proofErr w:type="spellStart"/>
      <w:r w:rsidR="00E4692A">
        <w:t>SoCG</w:t>
      </w:r>
      <w:proofErr w:type="spellEnd"/>
      <w:r w:rsidR="00E4692A">
        <w:t>.</w:t>
      </w:r>
      <w:r w:rsidR="004E4AE3">
        <w:t xml:space="preserve"> The </w:t>
      </w:r>
      <w:r w:rsidR="00DB7C70">
        <w:t>route</w:t>
      </w:r>
      <w:r w:rsidR="004E4AE3">
        <w:t xml:space="preserve"> has been agreed between the parties. </w:t>
      </w:r>
      <w:r w:rsidR="00E4692A">
        <w:t xml:space="preserve"> The parties agree that the</w:t>
      </w:r>
      <w:r w:rsidR="00C104CD">
        <w:t xml:space="preserve"> plan identifies the main </w:t>
      </w:r>
      <w:r w:rsidR="00813C17">
        <w:t xml:space="preserve">public viewpoints </w:t>
      </w:r>
      <w:r w:rsidR="00FB5468">
        <w:t xml:space="preserve">from which </w:t>
      </w:r>
      <w:r w:rsidR="00C104CD">
        <w:t>vi</w:t>
      </w:r>
      <w:r w:rsidR="00FB5468">
        <w:t>ews</w:t>
      </w:r>
      <w:r w:rsidR="00C104CD">
        <w:t xml:space="preserve"> </w:t>
      </w:r>
      <w:r w:rsidR="003B0FB8">
        <w:t xml:space="preserve">may </w:t>
      </w:r>
      <w:r w:rsidR="00C104CD">
        <w:t>be affected by the Appeal Scheme. In summary, these are:</w:t>
      </w:r>
    </w:p>
    <w:p w14:paraId="51072250" w14:textId="20E8BCEB" w:rsidR="00813C17" w:rsidRDefault="00813C17" w:rsidP="00091DB6">
      <w:pPr>
        <w:pStyle w:val="NoSpacing"/>
        <w:numPr>
          <w:ilvl w:val="0"/>
          <w:numId w:val="12"/>
        </w:numPr>
      </w:pPr>
      <w:r>
        <w:t xml:space="preserve">Footpaths </w:t>
      </w:r>
      <w:r w:rsidR="005D7921">
        <w:t xml:space="preserve">33 </w:t>
      </w:r>
      <w:r>
        <w:t xml:space="preserve">to the </w:t>
      </w:r>
      <w:r w:rsidR="006B6225">
        <w:t xml:space="preserve">northwest of the </w:t>
      </w:r>
      <w:r>
        <w:t>Site</w:t>
      </w:r>
      <w:r w:rsidR="009F1990">
        <w:t>.</w:t>
      </w:r>
      <w:r>
        <w:t xml:space="preserve"> </w:t>
      </w:r>
    </w:p>
    <w:p w14:paraId="0856482D" w14:textId="4A0DBADA" w:rsidR="006B6225" w:rsidRPr="00EA5F57" w:rsidRDefault="006B6225" w:rsidP="00091DB6">
      <w:pPr>
        <w:pStyle w:val="NoSpacing"/>
        <w:numPr>
          <w:ilvl w:val="0"/>
          <w:numId w:val="12"/>
        </w:numPr>
      </w:pPr>
      <w:r>
        <w:t>Tollgate Road</w:t>
      </w:r>
      <w:r w:rsidR="009F1990">
        <w:t>.</w:t>
      </w:r>
      <w:r>
        <w:t xml:space="preserve"> </w:t>
      </w:r>
    </w:p>
    <w:p w14:paraId="467861FA" w14:textId="613478B9" w:rsidR="006B6225" w:rsidRPr="00EA5F57" w:rsidRDefault="00EA5F57" w:rsidP="00091DB6">
      <w:pPr>
        <w:pStyle w:val="NoSpacing"/>
        <w:numPr>
          <w:ilvl w:val="0"/>
          <w:numId w:val="12"/>
        </w:numPr>
      </w:pPr>
      <w:r>
        <w:t>A s</w:t>
      </w:r>
      <w:r w:rsidR="006B6225">
        <w:t xml:space="preserve">hort section of Coursers Road close to the bridge over the </w:t>
      </w:r>
      <w:proofErr w:type="gramStart"/>
      <w:r w:rsidR="006B6225">
        <w:t>River</w:t>
      </w:r>
      <w:proofErr w:type="gramEnd"/>
      <w:r w:rsidR="006B6225">
        <w:t xml:space="preserve"> Colne</w:t>
      </w:r>
      <w:r w:rsidR="009F1990">
        <w:t>.</w:t>
      </w:r>
    </w:p>
    <w:p w14:paraId="2DB8E410" w14:textId="2538BDDF" w:rsidR="006B6225" w:rsidRDefault="006B6225" w:rsidP="006B6225">
      <w:pPr>
        <w:pStyle w:val="NoSpacing"/>
        <w:ind w:left="567" w:hanging="567"/>
      </w:pPr>
      <w:r>
        <w:t>The main private views are:</w:t>
      </w:r>
    </w:p>
    <w:p w14:paraId="325B99B3" w14:textId="42CD89B3" w:rsidR="006B6225" w:rsidRDefault="006B6225" w:rsidP="006B6225">
      <w:pPr>
        <w:pStyle w:val="NoSpacing"/>
        <w:numPr>
          <w:ilvl w:val="0"/>
          <w:numId w:val="12"/>
        </w:numPr>
      </w:pPr>
      <w:r>
        <w:t>Houses on Tollage Road which back onto the Site</w:t>
      </w:r>
      <w:r w:rsidR="009F1990">
        <w:t>.</w:t>
      </w:r>
    </w:p>
    <w:p w14:paraId="2D354D27" w14:textId="17871CBE" w:rsidR="00EA5F57" w:rsidRDefault="006B6225" w:rsidP="006B6225">
      <w:pPr>
        <w:pStyle w:val="NoSpacing"/>
        <w:numPr>
          <w:ilvl w:val="0"/>
          <w:numId w:val="12"/>
        </w:numPr>
      </w:pPr>
      <w:r>
        <w:t xml:space="preserve">Properties to the </w:t>
      </w:r>
      <w:proofErr w:type="gramStart"/>
      <w:r>
        <w:t>north west</w:t>
      </w:r>
      <w:proofErr w:type="gramEnd"/>
      <w:r>
        <w:t xml:space="preserve"> of the Site that face onto the north side of Toll</w:t>
      </w:r>
      <w:r w:rsidR="00EA5F57">
        <w:t>gate</w:t>
      </w:r>
      <w:r>
        <w:t xml:space="preserve"> Road.</w:t>
      </w:r>
    </w:p>
    <w:p w14:paraId="5EE9D7F2" w14:textId="5BC1E5A9" w:rsidR="00091DB6" w:rsidRDefault="00EE1FF2" w:rsidP="00091DB6">
      <w:pPr>
        <w:pStyle w:val="NoSpacing"/>
        <w:numPr>
          <w:ilvl w:val="0"/>
          <w:numId w:val="12"/>
        </w:numPr>
      </w:pPr>
      <w:r>
        <w:t>North</w:t>
      </w:r>
      <w:r w:rsidR="006B6225">
        <w:t xml:space="preserve"> </w:t>
      </w:r>
      <w:proofErr w:type="spellStart"/>
      <w:r w:rsidR="00EA5F57">
        <w:t>Mymms</w:t>
      </w:r>
      <w:proofErr w:type="spellEnd"/>
      <w:r w:rsidR="00EA5F57">
        <w:t xml:space="preserve"> Country House</w:t>
      </w:r>
      <w:r w:rsidR="009F1990">
        <w:t>.</w:t>
      </w:r>
    </w:p>
    <w:p w14:paraId="0E1505BB" w14:textId="77777777" w:rsidR="0057700F" w:rsidRDefault="00091DB6" w:rsidP="00091DB6">
      <w:pPr>
        <w:pStyle w:val="NoSpacing"/>
        <w:ind w:left="567" w:hanging="567"/>
      </w:pPr>
      <w:r>
        <w:lastRenderedPageBreak/>
        <w:t xml:space="preserve">A series of sections and photomontages were prepared </w:t>
      </w:r>
      <w:r w:rsidR="0057700F">
        <w:t xml:space="preserve">to show the potential impact of the Appeal Scheme. It is agreed that the 10 metres of buffer planting on the periphery of the Site will, in the medium term, screen the majority of the views. </w:t>
      </w:r>
    </w:p>
    <w:p w14:paraId="033BAFFC" w14:textId="2DE40C87" w:rsidR="006B6225" w:rsidRPr="006B6225" w:rsidRDefault="0057700F" w:rsidP="00D21D55">
      <w:pPr>
        <w:pStyle w:val="NoSpacing"/>
        <w:ind w:left="567" w:hanging="567"/>
      </w:pPr>
      <w:r>
        <w:t xml:space="preserve">In preparing the Site sections and photomontages, it has been assumed that trees would typically grow by 5 metres in 15 years and would be approximately 3 metres high at the time of planting. The canopies of the trees would therefore have reached a similar height </w:t>
      </w:r>
      <w:r w:rsidR="00EE1FF2">
        <w:t>to</w:t>
      </w:r>
      <w:r>
        <w:t xml:space="preserve"> that of a </w:t>
      </w:r>
      <w:proofErr w:type="gramStart"/>
      <w:r>
        <w:t>2 storey</w:t>
      </w:r>
      <w:proofErr w:type="gramEnd"/>
      <w:r>
        <w:t xml:space="preserve"> house in 15 years. </w:t>
      </w:r>
      <w:r w:rsidR="00EE1FF2">
        <w:t>Native hedgerows tend to grow at a faster rate, which typically amounts to 40cm a year. The parties agree that this is a reasonable assumption.</w:t>
      </w:r>
    </w:p>
    <w:p w14:paraId="69C4E251" w14:textId="2F829DF4" w:rsidR="00C104CD" w:rsidRDefault="00C104CD" w:rsidP="00FE2F32">
      <w:pPr>
        <w:spacing w:line="276" w:lineRule="auto"/>
        <w:ind w:firstLine="567"/>
        <w:rPr>
          <w:rFonts w:ascii="Century Gothic" w:hAnsi="Century Gothic"/>
          <w:b/>
        </w:rPr>
      </w:pPr>
      <w:r w:rsidRPr="00C104CD">
        <w:rPr>
          <w:rFonts w:ascii="Century Gothic" w:hAnsi="Century Gothic"/>
          <w:b/>
        </w:rPr>
        <w:t xml:space="preserve">Context </w:t>
      </w:r>
    </w:p>
    <w:p w14:paraId="7E9FAB7A" w14:textId="7F536E2F" w:rsidR="00813C17" w:rsidRPr="00EE4EFF" w:rsidRDefault="00813C17" w:rsidP="00942FA2">
      <w:pPr>
        <w:pStyle w:val="NoSpacing"/>
        <w:ind w:left="567" w:hanging="567"/>
      </w:pPr>
      <w:r w:rsidRPr="00EE4EFF">
        <w:t>The Hertfordshire Landscape Character Assessment divides the county into a series of Landscape Character Areas, with the Site lying</w:t>
      </w:r>
      <w:r w:rsidR="00EA5F57">
        <w:t xml:space="preserve"> in </w:t>
      </w:r>
      <w:r w:rsidR="00EA5F57" w:rsidRPr="00117EBC">
        <w:t>Colney Heath Farmland Landscape Character Area (LCA) 30.</w:t>
      </w:r>
      <w:r w:rsidRPr="00EE4EFF">
        <w:t xml:space="preserve"> </w:t>
      </w:r>
      <w:r w:rsidR="006275A2">
        <w:t xml:space="preserve">The LCA is quite large and extends from </w:t>
      </w:r>
      <w:r w:rsidR="006275A2" w:rsidRPr="00117EBC">
        <w:t>London Colney and St Albans in the west</w:t>
      </w:r>
      <w:r w:rsidR="006275A2">
        <w:t xml:space="preserve"> to </w:t>
      </w:r>
      <w:r w:rsidR="006275A2" w:rsidRPr="00117EBC">
        <w:t>Hatfield in the east</w:t>
      </w:r>
      <w:r w:rsidR="00444D2C">
        <w:t>.</w:t>
      </w:r>
    </w:p>
    <w:p w14:paraId="4151E3EC" w14:textId="78BF65AF" w:rsidR="00EA5F57" w:rsidRPr="00117EBC" w:rsidRDefault="00813C17" w:rsidP="00091DB6">
      <w:pPr>
        <w:pStyle w:val="NoSpacing"/>
        <w:ind w:left="567" w:hanging="567"/>
      </w:pPr>
      <w:r w:rsidRPr="00487D4A">
        <w:t xml:space="preserve">The key characteristics of </w:t>
      </w:r>
      <w:r w:rsidR="00EA5F57" w:rsidRPr="00117EBC">
        <w:t>LCA</w:t>
      </w:r>
      <w:r w:rsidR="00EA5F57">
        <w:t xml:space="preserve"> 30</w:t>
      </w:r>
      <w:r w:rsidR="006275A2">
        <w:t xml:space="preserve"> are</w:t>
      </w:r>
      <w:r w:rsidR="00EA5F57" w:rsidRPr="00117EBC">
        <w:t xml:space="preserve">: </w:t>
      </w:r>
    </w:p>
    <w:p w14:paraId="7DA1B11E" w14:textId="77777777" w:rsidR="00EA5F57" w:rsidRPr="006275A2" w:rsidRDefault="00EA5F57" w:rsidP="00EA5F57">
      <w:pPr>
        <w:pStyle w:val="CSABulletpointswithspacing"/>
        <w:rPr>
          <w:i/>
          <w:iCs/>
        </w:rPr>
      </w:pPr>
      <w:r w:rsidRPr="00091DB6">
        <w:rPr>
          <w:i/>
          <w:iCs/>
        </w:rPr>
        <w:t>‘</w:t>
      </w:r>
      <w:proofErr w:type="gramStart"/>
      <w:r w:rsidRPr="00091DB6">
        <w:rPr>
          <w:i/>
          <w:iCs/>
        </w:rPr>
        <w:t>medium</w:t>
      </w:r>
      <w:proofErr w:type="gramEnd"/>
      <w:r w:rsidRPr="00091DB6">
        <w:rPr>
          <w:i/>
          <w:iCs/>
        </w:rPr>
        <w:t>-scale arable farmland;</w:t>
      </w:r>
    </w:p>
    <w:p w14:paraId="3F14CAAD" w14:textId="77777777" w:rsidR="00EA5F57" w:rsidRPr="006275A2" w:rsidRDefault="00EA5F57" w:rsidP="00EA5F57">
      <w:pPr>
        <w:pStyle w:val="CSABulletpointswithspacing"/>
        <w:rPr>
          <w:i/>
          <w:iCs/>
        </w:rPr>
      </w:pPr>
      <w:r w:rsidRPr="00091DB6">
        <w:rPr>
          <w:i/>
          <w:iCs/>
        </w:rPr>
        <w:t xml:space="preserve">subtle gently undulating </w:t>
      </w:r>
      <w:proofErr w:type="gramStart"/>
      <w:r w:rsidRPr="00091DB6">
        <w:rPr>
          <w:i/>
          <w:iCs/>
        </w:rPr>
        <w:t>landforms;</w:t>
      </w:r>
      <w:proofErr w:type="gramEnd"/>
    </w:p>
    <w:p w14:paraId="1BB03594" w14:textId="77777777" w:rsidR="00EA5F57" w:rsidRPr="006275A2" w:rsidRDefault="00EA5F57" w:rsidP="00EA5F57">
      <w:pPr>
        <w:pStyle w:val="CSABulletpointswithspacing"/>
        <w:rPr>
          <w:i/>
          <w:iCs/>
        </w:rPr>
      </w:pPr>
      <w:r w:rsidRPr="00091DB6">
        <w:rPr>
          <w:i/>
          <w:iCs/>
        </w:rPr>
        <w:t xml:space="preserve">severance by transport corridors, past and </w:t>
      </w:r>
      <w:proofErr w:type="gramStart"/>
      <w:r w:rsidRPr="00091DB6">
        <w:rPr>
          <w:i/>
          <w:iCs/>
        </w:rPr>
        <w:t>present;</w:t>
      </w:r>
      <w:proofErr w:type="gramEnd"/>
    </w:p>
    <w:p w14:paraId="5204235D" w14:textId="77777777" w:rsidR="00EA5F57" w:rsidRPr="006275A2" w:rsidRDefault="00EA5F57" w:rsidP="00EA5F57">
      <w:pPr>
        <w:pStyle w:val="CSABulletpointswithspacing"/>
        <w:rPr>
          <w:i/>
          <w:iCs/>
        </w:rPr>
      </w:pPr>
      <w:r w:rsidRPr="00091DB6">
        <w:rPr>
          <w:i/>
          <w:iCs/>
        </w:rPr>
        <w:t xml:space="preserve">areas of semi-natural restored mineral </w:t>
      </w:r>
      <w:proofErr w:type="gramStart"/>
      <w:r w:rsidRPr="00091DB6">
        <w:rPr>
          <w:i/>
          <w:iCs/>
        </w:rPr>
        <w:t>workings;</w:t>
      </w:r>
      <w:proofErr w:type="gramEnd"/>
    </w:p>
    <w:p w14:paraId="03CD9442" w14:textId="77777777" w:rsidR="00EA5F57" w:rsidRPr="006275A2" w:rsidRDefault="00EA5F57" w:rsidP="00EA5F57">
      <w:pPr>
        <w:pStyle w:val="CSABulletpointswithspacing"/>
        <w:rPr>
          <w:i/>
          <w:iCs/>
        </w:rPr>
      </w:pPr>
      <w:r w:rsidRPr="00091DB6">
        <w:rPr>
          <w:i/>
          <w:iCs/>
        </w:rPr>
        <w:t>heath habitat at Colney Heath; and</w:t>
      </w:r>
    </w:p>
    <w:p w14:paraId="00BD69EB" w14:textId="77777777" w:rsidR="00EA5F57" w:rsidRPr="006275A2" w:rsidRDefault="00EA5F57" w:rsidP="00EA5F57">
      <w:pPr>
        <w:pStyle w:val="CSABulletpointswithspacing"/>
        <w:rPr>
          <w:i/>
          <w:iCs/>
        </w:rPr>
      </w:pPr>
      <w:r w:rsidRPr="00091DB6">
        <w:rPr>
          <w:i/>
          <w:iCs/>
        </w:rPr>
        <w:t>urban development contains area physically but visually largely concealed.’</w:t>
      </w:r>
    </w:p>
    <w:p w14:paraId="0F79B3C8" w14:textId="5BD9F8A6" w:rsidR="00813C17" w:rsidRDefault="006275A2" w:rsidP="00091DB6">
      <w:pPr>
        <w:pStyle w:val="NoSpacing"/>
        <w:ind w:left="567" w:hanging="567"/>
        <w:rPr>
          <w:i/>
        </w:rPr>
      </w:pPr>
      <w:r>
        <w:t>The two characteristics that are most relevant to the Site are the first and last bullet points, although it is agreed that the Site is in equestrian use and not actively farmed.</w:t>
      </w:r>
    </w:p>
    <w:p w14:paraId="70B937AC" w14:textId="24B57A92" w:rsidR="00942FA2" w:rsidRPr="00942FA2" w:rsidRDefault="00942FA2" w:rsidP="00942FA2">
      <w:pPr>
        <w:widowControl w:val="0"/>
        <w:tabs>
          <w:tab w:val="left" w:pos="1134"/>
          <w:tab w:val="left" w:pos="4865"/>
        </w:tabs>
        <w:spacing w:after="240" w:line="276" w:lineRule="auto"/>
        <w:jc w:val="both"/>
        <w:rPr>
          <w:rFonts w:ascii="Century Gothic" w:hAnsi="Century Gothic"/>
          <w:b/>
          <w:bCs/>
          <w:iCs/>
        </w:rPr>
      </w:pPr>
      <w:r>
        <w:rPr>
          <w:rFonts w:ascii="Century Gothic" w:hAnsi="Century Gothic"/>
          <w:iCs/>
        </w:rPr>
        <w:t xml:space="preserve">         </w:t>
      </w:r>
      <w:r w:rsidR="006275A2">
        <w:rPr>
          <w:rFonts w:ascii="Century Gothic" w:hAnsi="Century Gothic"/>
          <w:b/>
          <w:bCs/>
          <w:iCs/>
        </w:rPr>
        <w:t xml:space="preserve">Landscape effects </w:t>
      </w:r>
    </w:p>
    <w:p w14:paraId="37B088F5" w14:textId="153776B5" w:rsidR="001978B2" w:rsidRPr="00CC3352" w:rsidRDefault="001978B2" w:rsidP="00F651E6">
      <w:pPr>
        <w:pStyle w:val="NoSpacing"/>
        <w:numPr>
          <w:ilvl w:val="0"/>
          <w:numId w:val="0"/>
        </w:numPr>
        <w:tabs>
          <w:tab w:val="left" w:pos="5672"/>
        </w:tabs>
        <w:ind w:left="567"/>
        <w:rPr>
          <w:b/>
          <w:bCs/>
        </w:rPr>
      </w:pPr>
      <w:r w:rsidRPr="00091DB6">
        <w:rPr>
          <w:b/>
          <w:bCs/>
          <w:i/>
          <w:iCs/>
        </w:rPr>
        <w:t>Direct Impacts</w:t>
      </w:r>
      <w:r w:rsidR="00F651E6">
        <w:rPr>
          <w:b/>
          <w:bCs/>
        </w:rPr>
        <w:tab/>
      </w:r>
    </w:p>
    <w:p w14:paraId="7BB07530" w14:textId="06E27FEA" w:rsidR="001978B2" w:rsidRDefault="009D4D49" w:rsidP="001978B2">
      <w:pPr>
        <w:pStyle w:val="NoSpacing"/>
        <w:ind w:left="567" w:hanging="567"/>
      </w:pPr>
      <w:r>
        <w:t xml:space="preserve">A </w:t>
      </w:r>
      <w:r w:rsidR="006275A2">
        <w:t xml:space="preserve">small </w:t>
      </w:r>
      <w:r>
        <w:t>section of hedgerow w</w:t>
      </w:r>
      <w:r w:rsidR="00CC3352">
        <w:t xml:space="preserve">ill need to be removed </w:t>
      </w:r>
      <w:r w:rsidR="006275A2">
        <w:t>on the Tollg</w:t>
      </w:r>
      <w:r w:rsidR="00F369C8">
        <w:t>ate</w:t>
      </w:r>
      <w:r w:rsidR="006275A2">
        <w:t xml:space="preserve"> Road frontage </w:t>
      </w:r>
      <w:r w:rsidR="005219FC">
        <w:t xml:space="preserve">to accommodate the Site access and attendant visibility splays. </w:t>
      </w:r>
      <w:r w:rsidR="00657667">
        <w:t xml:space="preserve">There is no ecological objection to the removal of the hedgerow. </w:t>
      </w:r>
      <w:r w:rsidR="005219FC">
        <w:t xml:space="preserve">Elsewhere within the body of the Site there </w:t>
      </w:r>
      <w:r w:rsidR="005B096B">
        <w:t xml:space="preserve">is not </w:t>
      </w:r>
      <w:r w:rsidR="005219FC">
        <w:t>any vegetation that would constrain development.</w:t>
      </w:r>
      <w:r w:rsidR="00657667">
        <w:t xml:space="preserve"> </w:t>
      </w:r>
    </w:p>
    <w:p w14:paraId="740851ED" w14:textId="77777777" w:rsidR="00091DB6" w:rsidRDefault="005B096B" w:rsidP="00641977">
      <w:pPr>
        <w:pStyle w:val="NoSpacing"/>
        <w:ind w:left="567" w:hanging="567"/>
      </w:pPr>
      <w:r>
        <w:t>Any loss of vegetation can be compensated through new planting and the Appeal Scheme will deliver BNG.</w:t>
      </w:r>
    </w:p>
    <w:p w14:paraId="14F0F2D7" w14:textId="22DDF050" w:rsidR="00127966" w:rsidRDefault="00127966" w:rsidP="00641977">
      <w:pPr>
        <w:pStyle w:val="NoSpacing"/>
        <w:ind w:left="567" w:hanging="567"/>
      </w:pPr>
      <w:r>
        <w:lastRenderedPageBreak/>
        <w:t>The parameters plan shows th</w:t>
      </w:r>
      <w:r w:rsidR="00F60FB0">
        <w:t>at</w:t>
      </w:r>
      <w:r>
        <w:t xml:space="preserve"> </w:t>
      </w:r>
      <w:r w:rsidR="00F60FB0">
        <w:t>the Site as a whole extends to 7.82 hectares. Colney Heath Farm Me</w:t>
      </w:r>
      <w:r w:rsidR="00194E83">
        <w:t>a</w:t>
      </w:r>
      <w:r w:rsidR="00F60FB0">
        <w:t xml:space="preserve">dows Wildlife Site and the strategic open space and mitigating planting, which forms part of the development, will occupy approximately 3.75 hectares with the remaining 4.07 hectares for housing and supporting infrastructure. Within the 4.07 hectares that are identified for housing, there will also be tree lined streets, a play area, private </w:t>
      </w:r>
      <w:proofErr w:type="gramStart"/>
      <w:r w:rsidR="00F60FB0">
        <w:t>gardens</w:t>
      </w:r>
      <w:proofErr w:type="gramEnd"/>
      <w:r w:rsidR="00F60FB0">
        <w:t xml:space="preserve"> and incidental areas of open space.</w:t>
      </w:r>
    </w:p>
    <w:p w14:paraId="35B19135" w14:textId="68AADD8B" w:rsidR="002769DD" w:rsidRPr="00091DB6" w:rsidRDefault="00091DB6" w:rsidP="00091DB6">
      <w:pPr>
        <w:pStyle w:val="NoSpacing"/>
        <w:numPr>
          <w:ilvl w:val="0"/>
          <w:numId w:val="0"/>
        </w:numPr>
        <w:ind w:left="567"/>
        <w:rPr>
          <w:b/>
          <w:bCs/>
          <w:i/>
          <w:iCs/>
        </w:rPr>
      </w:pPr>
      <w:r w:rsidRPr="00091DB6">
        <w:rPr>
          <w:b/>
          <w:bCs/>
          <w:i/>
          <w:iCs/>
        </w:rPr>
        <w:t xml:space="preserve">Landscape Character </w:t>
      </w:r>
      <w:r w:rsidR="00552302" w:rsidRPr="00091DB6">
        <w:rPr>
          <w:b/>
          <w:bCs/>
          <w:i/>
          <w:iCs/>
        </w:rPr>
        <w:t xml:space="preserve"> </w:t>
      </w:r>
    </w:p>
    <w:p w14:paraId="5E834837" w14:textId="2425E162" w:rsidR="00F369C8" w:rsidRDefault="00F369C8" w:rsidP="00F369C8">
      <w:pPr>
        <w:pStyle w:val="NoSpacing"/>
        <w:ind w:left="567" w:hanging="567"/>
      </w:pPr>
      <w:r>
        <w:t xml:space="preserve">The development would replace a </w:t>
      </w:r>
      <w:r w:rsidR="00B623EA">
        <w:t xml:space="preserve">series of fields of horse grazed </w:t>
      </w:r>
      <w:r w:rsidR="00DD456D">
        <w:t>paddocks, associated</w:t>
      </w:r>
      <w:r w:rsidR="00B623EA">
        <w:t xml:space="preserve"> </w:t>
      </w:r>
      <w:proofErr w:type="gramStart"/>
      <w:r w:rsidR="00B623EA">
        <w:t>infrastructure</w:t>
      </w:r>
      <w:proofErr w:type="gramEnd"/>
      <w:r w:rsidR="00874618">
        <w:t xml:space="preserve"> and 42 Tollage Road,</w:t>
      </w:r>
      <w:r w:rsidR="00B623EA">
        <w:t xml:space="preserve"> with housing and open space. The character of the Site would </w:t>
      </w:r>
      <w:proofErr w:type="gramStart"/>
      <w:r w:rsidR="00BE50F6">
        <w:t>inevitable</w:t>
      </w:r>
      <w:proofErr w:type="gramEnd"/>
      <w:r w:rsidR="00BE50F6">
        <w:t xml:space="preserve"> change but the impact on the wider landscape would be localised.</w:t>
      </w:r>
      <w:r w:rsidR="00B623EA">
        <w:t xml:space="preserve"> </w:t>
      </w:r>
    </w:p>
    <w:p w14:paraId="0169BC0E" w14:textId="72B2287B" w:rsidR="00E46791" w:rsidRPr="00D21D55" w:rsidRDefault="00E46791" w:rsidP="00D21D55">
      <w:pPr>
        <w:pStyle w:val="NoSpacing"/>
        <w:numPr>
          <w:ilvl w:val="0"/>
          <w:numId w:val="0"/>
        </w:numPr>
        <w:ind w:left="567"/>
        <w:rPr>
          <w:b/>
          <w:bCs/>
        </w:rPr>
      </w:pPr>
      <w:r w:rsidRPr="00D21D55">
        <w:rPr>
          <w:b/>
          <w:bCs/>
        </w:rPr>
        <w:t xml:space="preserve">Visual Effects </w:t>
      </w:r>
    </w:p>
    <w:p w14:paraId="4F356B7F" w14:textId="71008619" w:rsidR="00E46791" w:rsidRDefault="00D21D55" w:rsidP="00F369C8">
      <w:pPr>
        <w:pStyle w:val="NoSpacing"/>
        <w:ind w:left="567" w:hanging="567"/>
      </w:pPr>
      <w:r>
        <w:t>The table in Appendix 2 summaries the visual effects on the key public viewpoints.</w:t>
      </w:r>
    </w:p>
    <w:p w14:paraId="66A100C4" w14:textId="2B430573" w:rsidR="00BE50F6" w:rsidRDefault="00BE50F6" w:rsidP="00D21D55">
      <w:pPr>
        <w:pStyle w:val="NoSpacing"/>
        <w:numPr>
          <w:ilvl w:val="0"/>
          <w:numId w:val="0"/>
        </w:numPr>
        <w:ind w:left="567"/>
      </w:pPr>
    </w:p>
    <w:p w14:paraId="798C653F" w14:textId="4D6B5629" w:rsidR="00FF45BD" w:rsidRDefault="00FF45BD" w:rsidP="002769DD">
      <w:pPr>
        <w:pStyle w:val="Heading1"/>
        <w:keepNext/>
        <w:widowControl/>
        <w:numPr>
          <w:ilvl w:val="0"/>
          <w:numId w:val="0"/>
        </w:numPr>
        <w:spacing w:before="120" w:after="120" w:line="240" w:lineRule="auto"/>
        <w:ind w:left="1151" w:hanging="584"/>
        <w:rPr>
          <w:rFonts w:ascii="Century Gothic" w:hAnsi="Century Gothic"/>
          <w:b/>
          <w:bCs/>
          <w:sz w:val="22"/>
          <w:szCs w:val="22"/>
        </w:rPr>
      </w:pPr>
      <w:r w:rsidRPr="002944A8">
        <w:rPr>
          <w:rFonts w:ascii="Century Gothic" w:hAnsi="Century Gothic"/>
          <w:b/>
          <w:bCs/>
          <w:sz w:val="22"/>
          <w:szCs w:val="22"/>
        </w:rPr>
        <w:t>M</w:t>
      </w:r>
      <w:r w:rsidR="002944A8">
        <w:rPr>
          <w:rFonts w:ascii="Century Gothic" w:hAnsi="Century Gothic"/>
          <w:b/>
          <w:bCs/>
          <w:sz w:val="22"/>
          <w:szCs w:val="22"/>
        </w:rPr>
        <w:t>ATTERS ON WHICH THE PARTIES</w:t>
      </w:r>
      <w:r w:rsidRPr="002944A8">
        <w:rPr>
          <w:rFonts w:ascii="Century Gothic" w:hAnsi="Century Gothic"/>
          <w:b/>
          <w:bCs/>
          <w:sz w:val="22"/>
          <w:szCs w:val="22"/>
        </w:rPr>
        <w:t xml:space="preserve"> </w:t>
      </w:r>
      <w:r w:rsidR="00B758AB" w:rsidRPr="002944A8">
        <w:rPr>
          <w:rFonts w:ascii="Century Gothic" w:hAnsi="Century Gothic"/>
          <w:b/>
          <w:bCs/>
          <w:sz w:val="22"/>
          <w:szCs w:val="22"/>
        </w:rPr>
        <w:t>DISAGREE</w:t>
      </w:r>
    </w:p>
    <w:p w14:paraId="1D54CA30" w14:textId="77777777" w:rsidR="00EE1FF2" w:rsidRDefault="00EE1FF2" w:rsidP="00D21D55">
      <w:pPr>
        <w:pStyle w:val="NoSpacing"/>
        <w:numPr>
          <w:ilvl w:val="0"/>
          <w:numId w:val="0"/>
        </w:numPr>
        <w:ind w:left="567"/>
      </w:pPr>
    </w:p>
    <w:p w14:paraId="1A15101C" w14:textId="14EDB5B9" w:rsidR="00FF45BD" w:rsidRDefault="00FF45BD" w:rsidP="002944A8">
      <w:pPr>
        <w:pStyle w:val="NoSpacing"/>
        <w:ind w:left="567" w:hanging="567"/>
      </w:pPr>
      <w:r w:rsidRPr="00B758AB">
        <w:t xml:space="preserve">The parties disagree </w:t>
      </w:r>
      <w:r w:rsidR="00C97A1C">
        <w:t xml:space="preserve">on </w:t>
      </w:r>
      <w:r w:rsidR="00EE1FF2">
        <w:t xml:space="preserve">elements of </w:t>
      </w:r>
      <w:r w:rsidR="00FF4EAB">
        <w:t xml:space="preserve">the </w:t>
      </w:r>
      <w:r w:rsidR="00FB2FAD">
        <w:t xml:space="preserve">landscape and visual </w:t>
      </w:r>
      <w:r w:rsidR="00475F6A">
        <w:t>baselin</w:t>
      </w:r>
      <w:r w:rsidR="00FB2FAD">
        <w:t>e</w:t>
      </w:r>
      <w:r w:rsidR="00475F6A">
        <w:t xml:space="preserve"> </w:t>
      </w:r>
      <w:r w:rsidR="00FB2FAD">
        <w:t xml:space="preserve">and </w:t>
      </w:r>
      <w:r w:rsidR="009F1990">
        <w:t xml:space="preserve">the </w:t>
      </w:r>
      <w:r w:rsidR="00475F6A">
        <w:t xml:space="preserve">assessment of </w:t>
      </w:r>
      <w:r w:rsidR="00EE1FF2">
        <w:t>landscape and visual effects</w:t>
      </w:r>
      <w:r w:rsidR="00111AF9">
        <w:t>.</w:t>
      </w:r>
    </w:p>
    <w:p w14:paraId="75D22240" w14:textId="77777777" w:rsidR="009F1990" w:rsidRDefault="009F1990" w:rsidP="00D21D55">
      <w:pPr>
        <w:pStyle w:val="NoSpacing"/>
        <w:numPr>
          <w:ilvl w:val="0"/>
          <w:numId w:val="0"/>
        </w:numPr>
        <w:ind w:left="502"/>
        <w:rPr>
          <w:iCs/>
        </w:rPr>
      </w:pPr>
    </w:p>
    <w:p w14:paraId="0A2CDB43" w14:textId="4B1B820D" w:rsidR="00D1404A" w:rsidRDefault="00D1404A" w:rsidP="00861C7C">
      <w:pPr>
        <w:pStyle w:val="NoSpacing"/>
        <w:numPr>
          <w:ilvl w:val="0"/>
          <w:numId w:val="0"/>
        </w:numPr>
        <w:ind w:left="567"/>
      </w:pPr>
      <w:r>
        <w:t>Signed on behalf of</w:t>
      </w:r>
      <w:r w:rsidR="009F1990">
        <w:t xml:space="preserve"> t</w:t>
      </w:r>
      <w:r>
        <w:t xml:space="preserve">he Appellant:  </w:t>
      </w:r>
    </w:p>
    <w:p w14:paraId="1932F351" w14:textId="77777777" w:rsidR="009F1990" w:rsidRDefault="009F1990" w:rsidP="00861C7C">
      <w:pPr>
        <w:pStyle w:val="NoSpacing"/>
        <w:numPr>
          <w:ilvl w:val="0"/>
          <w:numId w:val="0"/>
        </w:numPr>
        <w:ind w:left="567"/>
      </w:pPr>
    </w:p>
    <w:p w14:paraId="132C3CE5" w14:textId="441BE8E3" w:rsidR="00111AF9" w:rsidRDefault="00D1404A" w:rsidP="00861C7C">
      <w:pPr>
        <w:pStyle w:val="NoSpacing"/>
        <w:numPr>
          <w:ilvl w:val="0"/>
          <w:numId w:val="0"/>
        </w:numPr>
        <w:ind w:left="567"/>
      </w:pPr>
      <w:r>
        <w:t>Clive Self, CSA Environmental</w:t>
      </w:r>
      <w:r w:rsidR="009F1990">
        <w:t xml:space="preserve"> ……………………</w:t>
      </w:r>
      <w:proofErr w:type="gramStart"/>
      <w:r w:rsidR="009F1990">
        <w:t>…..</w:t>
      </w:r>
      <w:proofErr w:type="gramEnd"/>
      <w:r w:rsidR="009F1990">
        <w:t xml:space="preserve"> Date…………………</w:t>
      </w:r>
      <w:proofErr w:type="gramStart"/>
      <w:r w:rsidR="009F1990">
        <w:t>…..</w:t>
      </w:r>
      <w:proofErr w:type="gramEnd"/>
    </w:p>
    <w:p w14:paraId="5A933BC7" w14:textId="7B50B8C0" w:rsidR="00111AF9" w:rsidRDefault="00111AF9" w:rsidP="00861C7C">
      <w:pPr>
        <w:pStyle w:val="NoSpacing"/>
        <w:numPr>
          <w:ilvl w:val="0"/>
          <w:numId w:val="0"/>
        </w:numPr>
        <w:ind w:left="567"/>
      </w:pPr>
    </w:p>
    <w:p w14:paraId="56DE86D1" w14:textId="2FD3878D" w:rsidR="009F1990" w:rsidRDefault="009F1990" w:rsidP="009F1990">
      <w:pPr>
        <w:pStyle w:val="NoSpacing"/>
        <w:numPr>
          <w:ilvl w:val="0"/>
          <w:numId w:val="0"/>
        </w:numPr>
        <w:ind w:left="567"/>
      </w:pPr>
      <w:r>
        <w:rPr>
          <w:bCs/>
        </w:rPr>
        <w:t xml:space="preserve">Signed on behalf of </w:t>
      </w:r>
      <w:r>
        <w:t xml:space="preserve"> St Albans City District Council</w:t>
      </w:r>
    </w:p>
    <w:p w14:paraId="3C8CC48D" w14:textId="77777777" w:rsidR="009F1990" w:rsidRDefault="009F1990" w:rsidP="00861C7C">
      <w:pPr>
        <w:pStyle w:val="NoSpacing"/>
        <w:numPr>
          <w:ilvl w:val="0"/>
          <w:numId w:val="0"/>
        </w:numPr>
        <w:ind w:left="567"/>
        <w:rPr>
          <w:bCs/>
        </w:rPr>
      </w:pPr>
    </w:p>
    <w:p w14:paraId="729566E9" w14:textId="242E8B30" w:rsidR="00F5020C" w:rsidRDefault="00EE1FF2" w:rsidP="002769DD">
      <w:pPr>
        <w:pStyle w:val="NoSpacing"/>
        <w:numPr>
          <w:ilvl w:val="0"/>
          <w:numId w:val="0"/>
        </w:numPr>
        <w:ind w:left="567"/>
      </w:pPr>
      <w:r>
        <w:rPr>
          <w:bCs/>
        </w:rPr>
        <w:t>John Paul Frien</w:t>
      </w:r>
      <w:r w:rsidR="00B623EA">
        <w:rPr>
          <w:bCs/>
        </w:rPr>
        <w:t>d</w:t>
      </w:r>
      <w:r>
        <w:rPr>
          <w:bCs/>
        </w:rPr>
        <w:t xml:space="preserve"> </w:t>
      </w:r>
      <w:r w:rsidR="009F1990">
        <w:rPr>
          <w:bCs/>
        </w:rPr>
        <w:t xml:space="preserve">  </w:t>
      </w:r>
      <w:r w:rsidR="00CA63D0">
        <w:rPr>
          <w:noProof/>
        </w:rPr>
        <w:drawing>
          <wp:inline distT="0" distB="0" distL="0" distR="0" wp14:anchorId="2859F599" wp14:editId="7A6431F3">
            <wp:extent cx="1121682" cy="205860"/>
            <wp:effectExtent l="0" t="0" r="2540" b="3810"/>
            <wp:docPr id="974070674" name="Picture 1"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70674" name="Picture 1" descr="A close-up of a handwritten text&#10;&#10;Description automatically generated"/>
                    <pic:cNvPicPr/>
                  </pic:nvPicPr>
                  <pic:blipFill rotWithShape="1">
                    <a:blip r:embed="rId11" cstate="print">
                      <a:extLst>
                        <a:ext uri="{28A0092B-C50C-407E-A947-70E740481C1C}">
                          <a14:useLocalDpi xmlns:a14="http://schemas.microsoft.com/office/drawing/2010/main" val="0"/>
                        </a:ext>
                      </a:extLst>
                    </a:blip>
                    <a:srcRect t="15423" b="29517"/>
                    <a:stretch/>
                  </pic:blipFill>
                  <pic:spPr bwMode="auto">
                    <a:xfrm>
                      <a:off x="0" y="0"/>
                      <a:ext cx="1174879" cy="215623"/>
                    </a:xfrm>
                    <a:prstGeom prst="rect">
                      <a:avLst/>
                    </a:prstGeom>
                    <a:ln>
                      <a:noFill/>
                    </a:ln>
                    <a:extLst>
                      <a:ext uri="{53640926-AAD7-44D8-BBD7-CCE9431645EC}">
                        <a14:shadowObscured xmlns:a14="http://schemas.microsoft.com/office/drawing/2010/main"/>
                      </a:ext>
                    </a:extLst>
                  </pic:spPr>
                </pic:pic>
              </a:graphicData>
            </a:graphic>
          </wp:inline>
        </w:drawing>
      </w:r>
      <w:r w:rsidR="002769DD">
        <w:t>……………</w:t>
      </w:r>
      <w:r w:rsidR="00D1404A" w:rsidRPr="00B907BD">
        <w:t>Dat</w:t>
      </w:r>
      <w:r w:rsidR="002944A8" w:rsidRPr="00B907BD">
        <w:t>e</w:t>
      </w:r>
      <w:r w:rsidR="00CA63D0">
        <w:t xml:space="preserve"> 22.08.23</w:t>
      </w:r>
    </w:p>
    <w:p w14:paraId="264052AF" w14:textId="77777777" w:rsidR="009F1990" w:rsidRDefault="009F1990" w:rsidP="002769DD">
      <w:pPr>
        <w:pStyle w:val="NoSpacing"/>
        <w:numPr>
          <w:ilvl w:val="0"/>
          <w:numId w:val="0"/>
        </w:numPr>
        <w:ind w:left="567"/>
      </w:pPr>
    </w:p>
    <w:p w14:paraId="2A05E36F" w14:textId="789AA987" w:rsidR="009F1990" w:rsidRDefault="009F1990" w:rsidP="002769DD">
      <w:pPr>
        <w:pStyle w:val="NoSpacing"/>
        <w:numPr>
          <w:ilvl w:val="0"/>
          <w:numId w:val="0"/>
        </w:numPr>
        <w:ind w:left="567"/>
      </w:pPr>
      <w:r>
        <w:t>Signed on behalf of Colney Heath Parish Council</w:t>
      </w:r>
    </w:p>
    <w:p w14:paraId="57AE9F02" w14:textId="77777777" w:rsidR="009F1990" w:rsidRDefault="009F1990" w:rsidP="002769DD">
      <w:pPr>
        <w:pStyle w:val="NoSpacing"/>
        <w:numPr>
          <w:ilvl w:val="0"/>
          <w:numId w:val="0"/>
        </w:numPr>
        <w:ind w:left="567"/>
      </w:pPr>
    </w:p>
    <w:p w14:paraId="2120726F" w14:textId="4142E853" w:rsidR="009F1990" w:rsidRPr="00A54CC8" w:rsidRDefault="009F1990" w:rsidP="002769DD">
      <w:pPr>
        <w:pStyle w:val="NoSpacing"/>
        <w:numPr>
          <w:ilvl w:val="0"/>
          <w:numId w:val="0"/>
        </w:numPr>
        <w:ind w:left="567"/>
        <w:sectPr w:rsidR="009F1990" w:rsidRPr="00A54CC8" w:rsidSect="002F28CE">
          <w:footerReference w:type="default" r:id="rId12"/>
          <w:pgSz w:w="11906" w:h="16838"/>
          <w:pgMar w:top="1440" w:right="1440" w:bottom="1440" w:left="1440" w:header="709" w:footer="709" w:gutter="0"/>
          <w:cols w:space="708"/>
          <w:docGrid w:linePitch="360"/>
        </w:sectPr>
      </w:pPr>
      <w:r>
        <w:t>XX…………………………………………………………. Date………………</w:t>
      </w:r>
      <w:proofErr w:type="gramStart"/>
      <w:r>
        <w:t>…..</w:t>
      </w:r>
      <w:proofErr w:type="gramEnd"/>
      <w:r>
        <w:t xml:space="preserve"> </w:t>
      </w:r>
    </w:p>
    <w:p w14:paraId="74D2DE8E" w14:textId="09D41073" w:rsidR="00861C7C" w:rsidRPr="007E00D0" w:rsidRDefault="00D10F22" w:rsidP="00545841">
      <w:pPr>
        <w:rPr>
          <w:rFonts w:ascii="Century Gothic" w:hAnsi="Century Gothic"/>
          <w:b/>
          <w:sz w:val="24"/>
          <w:szCs w:val="24"/>
        </w:rPr>
      </w:pPr>
      <w:r w:rsidRPr="007E00D0">
        <w:rPr>
          <w:rFonts w:ascii="Century Gothic" w:hAnsi="Century Gothic"/>
          <w:b/>
          <w:sz w:val="24"/>
          <w:szCs w:val="24"/>
        </w:rPr>
        <w:lastRenderedPageBreak/>
        <w:t xml:space="preserve">Appendix </w:t>
      </w:r>
      <w:r w:rsidR="00F81292">
        <w:rPr>
          <w:rFonts w:ascii="Century Gothic" w:hAnsi="Century Gothic"/>
          <w:b/>
          <w:sz w:val="24"/>
          <w:szCs w:val="24"/>
        </w:rPr>
        <w:t>1</w:t>
      </w:r>
    </w:p>
    <w:p w14:paraId="58B0E80E" w14:textId="4613D336" w:rsidR="00D10F22" w:rsidRDefault="003B0FB8" w:rsidP="00545841">
      <w:pPr>
        <w:rPr>
          <w:rFonts w:ascii="Century Gothic" w:hAnsi="Century Gothic"/>
          <w:sz w:val="24"/>
          <w:szCs w:val="24"/>
        </w:rPr>
      </w:pPr>
      <w:r>
        <w:rPr>
          <w:rFonts w:ascii="Century Gothic" w:hAnsi="Century Gothic"/>
          <w:sz w:val="24"/>
          <w:szCs w:val="24"/>
        </w:rPr>
        <w:t>S</w:t>
      </w:r>
      <w:r w:rsidR="00D10F22" w:rsidRPr="007E00D0">
        <w:rPr>
          <w:rFonts w:ascii="Century Gothic" w:hAnsi="Century Gothic"/>
          <w:sz w:val="24"/>
          <w:szCs w:val="24"/>
        </w:rPr>
        <w:t xml:space="preserve">uggested walking route for the </w:t>
      </w:r>
      <w:r w:rsidR="00A16EE2" w:rsidRPr="007E00D0">
        <w:rPr>
          <w:rFonts w:ascii="Century Gothic" w:hAnsi="Century Gothic"/>
          <w:sz w:val="24"/>
          <w:szCs w:val="24"/>
        </w:rPr>
        <w:t>Inspector.</w:t>
      </w:r>
    </w:p>
    <w:p w14:paraId="6DEAA346" w14:textId="77777777" w:rsidR="007D5925" w:rsidRDefault="007D5925" w:rsidP="00545841">
      <w:pPr>
        <w:rPr>
          <w:rFonts w:ascii="Century Gothic" w:hAnsi="Century Gothic"/>
          <w:sz w:val="24"/>
          <w:szCs w:val="24"/>
        </w:rPr>
      </w:pPr>
    </w:p>
    <w:p w14:paraId="2C78A223" w14:textId="0BE37C52" w:rsidR="00F81292" w:rsidRDefault="007D5925" w:rsidP="00545841">
      <w:pPr>
        <w:rPr>
          <w:rFonts w:ascii="Century Gothic" w:hAnsi="Century Gothic"/>
          <w:sz w:val="24"/>
          <w:szCs w:val="24"/>
        </w:rPr>
      </w:pPr>
      <w:r>
        <w:rPr>
          <w:noProof/>
          <w:lang w:eastAsia="en-GB"/>
        </w:rPr>
        <w:drawing>
          <wp:inline distT="0" distB="0" distL="0" distR="0" wp14:anchorId="002CD948" wp14:editId="6C33E3BC">
            <wp:extent cx="5915770" cy="4423242"/>
            <wp:effectExtent l="0" t="0" r="8890" b="0"/>
            <wp:docPr id="82617771" name="Picture 1" descr="A map with blue lines and a pa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7771" name="Picture 1" descr="A map with blue lines and a path&#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577" t="8832" r="14600" b="15219"/>
                    <a:stretch/>
                  </pic:blipFill>
                  <pic:spPr bwMode="auto">
                    <a:xfrm>
                      <a:off x="0" y="0"/>
                      <a:ext cx="5930898" cy="4434553"/>
                    </a:xfrm>
                    <a:prstGeom prst="rect">
                      <a:avLst/>
                    </a:prstGeom>
                    <a:noFill/>
                    <a:ln>
                      <a:noFill/>
                    </a:ln>
                    <a:extLst>
                      <a:ext uri="{53640926-AAD7-44D8-BBD7-CCE9431645EC}">
                        <a14:shadowObscured xmlns:a14="http://schemas.microsoft.com/office/drawing/2010/main"/>
                      </a:ext>
                    </a:extLst>
                  </pic:spPr>
                </pic:pic>
              </a:graphicData>
            </a:graphic>
          </wp:inline>
        </w:drawing>
      </w:r>
    </w:p>
    <w:p w14:paraId="5260A96E" w14:textId="77777777" w:rsidR="00F81292" w:rsidRDefault="00F81292" w:rsidP="00545841">
      <w:pPr>
        <w:rPr>
          <w:rFonts w:ascii="Century Gothic" w:hAnsi="Century Gothic"/>
          <w:sz w:val="24"/>
          <w:szCs w:val="24"/>
        </w:rPr>
      </w:pPr>
    </w:p>
    <w:p w14:paraId="29793059" w14:textId="77777777" w:rsidR="00F81292" w:rsidRDefault="00F81292" w:rsidP="00545841">
      <w:pPr>
        <w:rPr>
          <w:rFonts w:ascii="Century Gothic" w:hAnsi="Century Gothic"/>
          <w:sz w:val="24"/>
          <w:szCs w:val="24"/>
        </w:rPr>
      </w:pPr>
    </w:p>
    <w:p w14:paraId="5E83F211" w14:textId="77777777" w:rsidR="00F81292" w:rsidRDefault="00F81292" w:rsidP="00545841">
      <w:pPr>
        <w:rPr>
          <w:rFonts w:ascii="Century Gothic" w:hAnsi="Century Gothic"/>
          <w:sz w:val="24"/>
          <w:szCs w:val="24"/>
        </w:rPr>
      </w:pPr>
    </w:p>
    <w:p w14:paraId="67206EB5" w14:textId="77777777" w:rsidR="00F81292" w:rsidRDefault="00F81292" w:rsidP="00545841">
      <w:pPr>
        <w:rPr>
          <w:rFonts w:ascii="Century Gothic" w:hAnsi="Century Gothic"/>
          <w:sz w:val="24"/>
          <w:szCs w:val="24"/>
        </w:rPr>
      </w:pPr>
    </w:p>
    <w:p w14:paraId="672DFF24" w14:textId="77777777" w:rsidR="00F81292" w:rsidRDefault="00F81292" w:rsidP="00545841">
      <w:pPr>
        <w:rPr>
          <w:rFonts w:ascii="Century Gothic" w:hAnsi="Century Gothic"/>
          <w:sz w:val="24"/>
          <w:szCs w:val="24"/>
        </w:rPr>
      </w:pPr>
    </w:p>
    <w:p w14:paraId="78DC01BF" w14:textId="77777777" w:rsidR="00F81292" w:rsidRDefault="00F81292" w:rsidP="00545841">
      <w:pPr>
        <w:rPr>
          <w:rFonts w:ascii="Century Gothic" w:hAnsi="Century Gothic"/>
          <w:sz w:val="24"/>
          <w:szCs w:val="24"/>
        </w:rPr>
      </w:pPr>
    </w:p>
    <w:p w14:paraId="3D70BF52" w14:textId="77777777" w:rsidR="00F81292" w:rsidRDefault="00F81292" w:rsidP="00545841">
      <w:pPr>
        <w:rPr>
          <w:rFonts w:ascii="Century Gothic" w:hAnsi="Century Gothic"/>
          <w:sz w:val="24"/>
          <w:szCs w:val="24"/>
        </w:rPr>
      </w:pPr>
    </w:p>
    <w:p w14:paraId="45195BD7" w14:textId="77777777" w:rsidR="00F81292" w:rsidRDefault="00F81292" w:rsidP="00545841">
      <w:pPr>
        <w:rPr>
          <w:rFonts w:ascii="Century Gothic" w:hAnsi="Century Gothic"/>
          <w:sz w:val="24"/>
          <w:szCs w:val="24"/>
        </w:rPr>
      </w:pPr>
    </w:p>
    <w:p w14:paraId="447C0CDA" w14:textId="77777777" w:rsidR="00F81292" w:rsidRDefault="00F81292" w:rsidP="00545841">
      <w:pPr>
        <w:rPr>
          <w:rFonts w:ascii="Century Gothic" w:hAnsi="Century Gothic"/>
          <w:sz w:val="24"/>
          <w:szCs w:val="24"/>
        </w:rPr>
      </w:pPr>
    </w:p>
    <w:p w14:paraId="6EB9D8BC" w14:textId="77777777" w:rsidR="00F81292" w:rsidRDefault="00F81292" w:rsidP="00545841">
      <w:pPr>
        <w:rPr>
          <w:rFonts w:ascii="Century Gothic" w:hAnsi="Century Gothic"/>
          <w:sz w:val="24"/>
          <w:szCs w:val="24"/>
        </w:rPr>
      </w:pPr>
    </w:p>
    <w:p w14:paraId="5DAFB782" w14:textId="77777777" w:rsidR="00F81292" w:rsidRDefault="00F81292" w:rsidP="00545841">
      <w:pPr>
        <w:rPr>
          <w:rFonts w:ascii="Century Gothic" w:hAnsi="Century Gothic"/>
          <w:sz w:val="24"/>
          <w:szCs w:val="24"/>
        </w:rPr>
      </w:pPr>
    </w:p>
    <w:p w14:paraId="5F7E1CD1" w14:textId="760D146D" w:rsidR="00F81292" w:rsidRPr="007E00D0" w:rsidRDefault="007D5925" w:rsidP="00F81292">
      <w:pPr>
        <w:rPr>
          <w:rFonts w:ascii="Century Gothic" w:hAnsi="Century Gothic"/>
          <w:b/>
          <w:sz w:val="24"/>
          <w:szCs w:val="24"/>
        </w:rPr>
      </w:pPr>
      <w:r>
        <w:rPr>
          <w:rFonts w:ascii="Century Gothic" w:hAnsi="Century Gothic"/>
          <w:b/>
          <w:sz w:val="24"/>
          <w:szCs w:val="24"/>
        </w:rPr>
        <w:lastRenderedPageBreak/>
        <w:t>A</w:t>
      </w:r>
      <w:r w:rsidR="00F81292" w:rsidRPr="007E00D0">
        <w:rPr>
          <w:rFonts w:ascii="Century Gothic" w:hAnsi="Century Gothic"/>
          <w:b/>
          <w:sz w:val="24"/>
          <w:szCs w:val="24"/>
        </w:rPr>
        <w:t xml:space="preserve">ppendix </w:t>
      </w:r>
      <w:r w:rsidR="00F81292">
        <w:rPr>
          <w:rFonts w:ascii="Century Gothic" w:hAnsi="Century Gothic"/>
          <w:b/>
          <w:sz w:val="24"/>
          <w:szCs w:val="24"/>
        </w:rPr>
        <w:t>2</w:t>
      </w:r>
    </w:p>
    <w:p w14:paraId="0987B477" w14:textId="77777777" w:rsidR="00755D02" w:rsidRPr="00853229" w:rsidRDefault="00755D02" w:rsidP="00755D02">
      <w:pPr>
        <w:rPr>
          <w:b/>
          <w:bCs/>
        </w:rPr>
      </w:pPr>
      <w:r w:rsidRPr="00853229">
        <w:rPr>
          <w:b/>
          <w:bCs/>
        </w:rPr>
        <w:t>Land to the rear of 42 to 100 Toll</w:t>
      </w:r>
      <w:r>
        <w:rPr>
          <w:b/>
          <w:bCs/>
        </w:rPr>
        <w:t>gate</w:t>
      </w:r>
      <w:r w:rsidRPr="00853229">
        <w:rPr>
          <w:b/>
          <w:bCs/>
        </w:rPr>
        <w:t xml:space="preserve"> </w:t>
      </w:r>
      <w:r>
        <w:rPr>
          <w:b/>
          <w:bCs/>
        </w:rPr>
        <w:t>R</w:t>
      </w:r>
      <w:r w:rsidRPr="00853229">
        <w:rPr>
          <w:b/>
          <w:bCs/>
        </w:rPr>
        <w:t>oad, Colney Heath.</w:t>
      </w:r>
    </w:p>
    <w:p w14:paraId="3622DE19" w14:textId="584E03B1" w:rsidR="00755D02" w:rsidRPr="002B46A8" w:rsidRDefault="00755D02" w:rsidP="00755D02">
      <w:pPr>
        <w:rPr>
          <w:b/>
          <w:bCs/>
          <w:color w:val="BF8F00" w:themeColor="accent4" w:themeShade="BF"/>
        </w:rPr>
      </w:pPr>
      <w:proofErr w:type="spellStart"/>
      <w:r w:rsidRPr="00605E31">
        <w:rPr>
          <w:b/>
          <w:bCs/>
        </w:rPr>
        <w:t>SoCG</w:t>
      </w:r>
      <w:proofErr w:type="spellEnd"/>
      <w:r w:rsidRPr="00605E31">
        <w:rPr>
          <w:b/>
          <w:bCs/>
        </w:rPr>
        <w:t xml:space="preserve"> on Assessment of Key Views and impact on Landscape Character</w:t>
      </w:r>
      <w:r>
        <w:t xml:space="preserve">: Appellant’s comments in </w:t>
      </w:r>
      <w:r w:rsidRPr="00853229">
        <w:rPr>
          <w:b/>
          <w:bCs/>
        </w:rPr>
        <w:t>Black</w:t>
      </w:r>
      <w:r>
        <w:t xml:space="preserve">, SACDC in </w:t>
      </w:r>
      <w:r w:rsidRPr="00853229">
        <w:rPr>
          <w:b/>
          <w:bCs/>
          <w:color w:val="00B050"/>
        </w:rPr>
        <w:t>Green</w:t>
      </w:r>
      <w:r w:rsidR="00451CAA">
        <w:t>.</w:t>
      </w:r>
    </w:p>
    <w:p w14:paraId="72AF26A4" w14:textId="77777777" w:rsidR="00755D02" w:rsidRDefault="00755D02" w:rsidP="00755D02">
      <w:r>
        <w:t>For consistency, the judgements below are based on the methodology in the submitted LVIA and refer to the photographs within it and the subsequent photomontages that were prepared.</w:t>
      </w:r>
    </w:p>
    <w:p w14:paraId="446A5F4F" w14:textId="77777777" w:rsidR="00755D02" w:rsidRDefault="00755D02" w:rsidP="00755D02">
      <w:r>
        <w:t xml:space="preserve">The judgments set out below are on the landscape and visual effects of the proposed development. They do not cover Green Belt matters as these are set out in planning </w:t>
      </w:r>
      <w:proofErr w:type="spellStart"/>
      <w:r>
        <w:t>SoCG</w:t>
      </w:r>
      <w:proofErr w:type="spellEnd"/>
      <w:r>
        <w:t>.</w:t>
      </w:r>
    </w:p>
    <w:p w14:paraId="3FD72BBF" w14:textId="77777777" w:rsidR="00755D02" w:rsidRDefault="00755D02" w:rsidP="00755D02"/>
    <w:tbl>
      <w:tblPr>
        <w:tblStyle w:val="TableGrid"/>
        <w:tblW w:w="0" w:type="auto"/>
        <w:tblLayout w:type="fixed"/>
        <w:tblLook w:val="04A0" w:firstRow="1" w:lastRow="0" w:firstColumn="1" w:lastColumn="0" w:noHBand="0" w:noVBand="1"/>
      </w:tblPr>
      <w:tblGrid>
        <w:gridCol w:w="2982"/>
        <w:gridCol w:w="2400"/>
        <w:gridCol w:w="1417"/>
        <w:gridCol w:w="2217"/>
      </w:tblGrid>
      <w:tr w:rsidR="00755D02" w14:paraId="29B0D57F" w14:textId="77777777" w:rsidTr="009D63B7">
        <w:tc>
          <w:tcPr>
            <w:tcW w:w="2982" w:type="dxa"/>
            <w:shd w:val="clear" w:color="auto" w:fill="BDD6EE" w:themeFill="accent5" w:themeFillTint="66"/>
          </w:tcPr>
          <w:p w14:paraId="3CB61441" w14:textId="77777777" w:rsidR="00755D02" w:rsidRPr="002B46A8" w:rsidRDefault="00755D02" w:rsidP="009D63B7">
            <w:pPr>
              <w:rPr>
                <w:b/>
                <w:bCs/>
                <w:sz w:val="20"/>
                <w:szCs w:val="20"/>
              </w:rPr>
            </w:pPr>
            <w:r w:rsidRPr="002B46A8">
              <w:rPr>
                <w:b/>
                <w:bCs/>
                <w:sz w:val="20"/>
                <w:szCs w:val="20"/>
              </w:rPr>
              <w:t xml:space="preserve">Key Views </w:t>
            </w:r>
          </w:p>
        </w:tc>
        <w:tc>
          <w:tcPr>
            <w:tcW w:w="2400" w:type="dxa"/>
            <w:shd w:val="clear" w:color="auto" w:fill="BDD6EE" w:themeFill="accent5" w:themeFillTint="66"/>
          </w:tcPr>
          <w:p w14:paraId="3033E199" w14:textId="77777777" w:rsidR="00755D02" w:rsidRPr="00B4415E" w:rsidRDefault="00755D02" w:rsidP="009D63B7">
            <w:pPr>
              <w:rPr>
                <w:b/>
                <w:bCs/>
                <w:sz w:val="20"/>
                <w:szCs w:val="20"/>
              </w:rPr>
            </w:pPr>
            <w:r w:rsidRPr="00B4415E">
              <w:rPr>
                <w:b/>
                <w:bCs/>
                <w:sz w:val="20"/>
                <w:szCs w:val="20"/>
              </w:rPr>
              <w:t>Year 1</w:t>
            </w:r>
            <w:r>
              <w:rPr>
                <w:b/>
                <w:bCs/>
                <w:sz w:val="20"/>
                <w:szCs w:val="20"/>
              </w:rPr>
              <w:t xml:space="preserve"> impact</w:t>
            </w:r>
          </w:p>
        </w:tc>
        <w:tc>
          <w:tcPr>
            <w:tcW w:w="1417" w:type="dxa"/>
            <w:shd w:val="clear" w:color="auto" w:fill="BDD6EE" w:themeFill="accent5" w:themeFillTint="66"/>
          </w:tcPr>
          <w:p w14:paraId="51627835" w14:textId="77777777" w:rsidR="00755D02" w:rsidRPr="00B4415E" w:rsidRDefault="00755D02" w:rsidP="009D63B7">
            <w:pPr>
              <w:rPr>
                <w:b/>
                <w:bCs/>
                <w:sz w:val="20"/>
                <w:szCs w:val="20"/>
              </w:rPr>
            </w:pPr>
            <w:r w:rsidRPr="00B4415E">
              <w:rPr>
                <w:b/>
                <w:bCs/>
                <w:sz w:val="20"/>
                <w:szCs w:val="20"/>
              </w:rPr>
              <w:t xml:space="preserve"> Year 15</w:t>
            </w:r>
          </w:p>
        </w:tc>
        <w:tc>
          <w:tcPr>
            <w:tcW w:w="2217" w:type="dxa"/>
            <w:shd w:val="clear" w:color="auto" w:fill="BDD6EE" w:themeFill="accent5" w:themeFillTint="66"/>
          </w:tcPr>
          <w:p w14:paraId="49AA69FC" w14:textId="77777777" w:rsidR="00755D02" w:rsidRPr="00B4415E" w:rsidRDefault="00755D02" w:rsidP="009D63B7">
            <w:pPr>
              <w:rPr>
                <w:b/>
                <w:bCs/>
                <w:sz w:val="20"/>
                <w:szCs w:val="20"/>
              </w:rPr>
            </w:pPr>
            <w:r w:rsidRPr="00B4415E">
              <w:rPr>
                <w:b/>
                <w:bCs/>
                <w:sz w:val="20"/>
                <w:szCs w:val="20"/>
              </w:rPr>
              <w:t xml:space="preserve">Additional Comment </w:t>
            </w:r>
          </w:p>
        </w:tc>
      </w:tr>
      <w:tr w:rsidR="00755D02" w14:paraId="6449B43E" w14:textId="77777777" w:rsidTr="009D63B7">
        <w:tc>
          <w:tcPr>
            <w:tcW w:w="2982" w:type="dxa"/>
          </w:tcPr>
          <w:p w14:paraId="7FFB20A8" w14:textId="77777777" w:rsidR="00755D02" w:rsidRPr="00B4415E" w:rsidRDefault="00755D02" w:rsidP="009D63B7">
            <w:pPr>
              <w:rPr>
                <w:sz w:val="20"/>
                <w:szCs w:val="20"/>
              </w:rPr>
            </w:pPr>
            <w:r w:rsidRPr="00B4415E">
              <w:rPr>
                <w:b/>
                <w:bCs/>
                <w:sz w:val="20"/>
                <w:szCs w:val="20"/>
              </w:rPr>
              <w:t xml:space="preserve">Photo 13 </w:t>
            </w:r>
            <w:r w:rsidRPr="00B4415E">
              <w:rPr>
                <w:sz w:val="20"/>
                <w:szCs w:val="20"/>
              </w:rPr>
              <w:t>View from Tollgate Road to the northwest of the Site</w:t>
            </w:r>
            <w:r>
              <w:rPr>
                <w:sz w:val="20"/>
                <w:szCs w:val="20"/>
              </w:rPr>
              <w:t>.</w:t>
            </w:r>
          </w:p>
        </w:tc>
        <w:tc>
          <w:tcPr>
            <w:tcW w:w="2400" w:type="dxa"/>
          </w:tcPr>
          <w:p w14:paraId="6020BDB9" w14:textId="77777777" w:rsidR="00755D02" w:rsidRPr="00B4415E" w:rsidRDefault="00755D02" w:rsidP="009D63B7">
            <w:pPr>
              <w:rPr>
                <w:sz w:val="20"/>
                <w:szCs w:val="20"/>
              </w:rPr>
            </w:pPr>
            <w:r w:rsidRPr="00B4415E">
              <w:rPr>
                <w:sz w:val="20"/>
                <w:szCs w:val="20"/>
              </w:rPr>
              <w:t>Moderate adverse</w:t>
            </w:r>
          </w:p>
          <w:p w14:paraId="27EF5D9E" w14:textId="1EAA828B" w:rsidR="00755D02" w:rsidRPr="00CA63D0" w:rsidRDefault="00022F7E" w:rsidP="009D63B7">
            <w:pPr>
              <w:rPr>
                <w:color w:val="00B050"/>
                <w:sz w:val="20"/>
                <w:szCs w:val="20"/>
              </w:rPr>
            </w:pPr>
            <w:r w:rsidRPr="00022F7E">
              <w:rPr>
                <w:color w:val="00B050"/>
                <w:sz w:val="20"/>
                <w:szCs w:val="20"/>
              </w:rPr>
              <w:t>Substantial</w:t>
            </w:r>
            <w:r>
              <w:rPr>
                <w:color w:val="00B050"/>
                <w:sz w:val="20"/>
                <w:szCs w:val="20"/>
              </w:rPr>
              <w:t xml:space="preserve"> to Moderate adverse</w:t>
            </w:r>
          </w:p>
        </w:tc>
        <w:tc>
          <w:tcPr>
            <w:tcW w:w="1417" w:type="dxa"/>
          </w:tcPr>
          <w:p w14:paraId="24E743CD" w14:textId="77777777" w:rsidR="00755D02" w:rsidRPr="00B4415E" w:rsidRDefault="00755D02" w:rsidP="009D63B7">
            <w:pPr>
              <w:rPr>
                <w:sz w:val="20"/>
                <w:szCs w:val="20"/>
              </w:rPr>
            </w:pPr>
            <w:r w:rsidRPr="00B4415E">
              <w:rPr>
                <w:sz w:val="20"/>
                <w:szCs w:val="20"/>
              </w:rPr>
              <w:t>Slight adverse</w:t>
            </w:r>
          </w:p>
          <w:p w14:paraId="2289EBEC" w14:textId="137BE1F7" w:rsidR="00755D02" w:rsidRPr="00CA63D0" w:rsidRDefault="00022F7E" w:rsidP="009D63B7">
            <w:pPr>
              <w:rPr>
                <w:color w:val="00B050"/>
                <w:sz w:val="20"/>
                <w:szCs w:val="20"/>
              </w:rPr>
            </w:pPr>
            <w:r>
              <w:rPr>
                <w:color w:val="00B050"/>
                <w:sz w:val="20"/>
                <w:szCs w:val="20"/>
              </w:rPr>
              <w:t>Moderate adverse</w:t>
            </w:r>
          </w:p>
        </w:tc>
        <w:tc>
          <w:tcPr>
            <w:tcW w:w="2217" w:type="dxa"/>
          </w:tcPr>
          <w:p w14:paraId="202C7322" w14:textId="77777777" w:rsidR="00755D02" w:rsidRPr="00B4415E" w:rsidRDefault="00755D02" w:rsidP="009D63B7">
            <w:pPr>
              <w:rPr>
                <w:sz w:val="20"/>
                <w:szCs w:val="20"/>
              </w:rPr>
            </w:pPr>
          </w:p>
        </w:tc>
      </w:tr>
      <w:tr w:rsidR="00755D02" w14:paraId="3CF9A3AC" w14:textId="77777777" w:rsidTr="009D63B7">
        <w:tc>
          <w:tcPr>
            <w:tcW w:w="2982" w:type="dxa"/>
          </w:tcPr>
          <w:p w14:paraId="7A94A701" w14:textId="77777777" w:rsidR="00755D02" w:rsidRPr="00B4415E" w:rsidRDefault="00755D02" w:rsidP="009D63B7">
            <w:pPr>
              <w:rPr>
                <w:sz w:val="20"/>
                <w:szCs w:val="20"/>
              </w:rPr>
            </w:pPr>
            <w:r w:rsidRPr="00B4415E">
              <w:rPr>
                <w:b/>
                <w:bCs/>
                <w:sz w:val="20"/>
                <w:szCs w:val="20"/>
              </w:rPr>
              <w:t>Photo 07</w:t>
            </w:r>
            <w:r w:rsidRPr="00B4415E">
              <w:rPr>
                <w:sz w:val="20"/>
                <w:szCs w:val="20"/>
              </w:rPr>
              <w:t xml:space="preserve"> View from southern section of footpath 33.</w:t>
            </w:r>
          </w:p>
        </w:tc>
        <w:tc>
          <w:tcPr>
            <w:tcW w:w="2400" w:type="dxa"/>
          </w:tcPr>
          <w:p w14:paraId="33D7D490" w14:textId="77777777" w:rsidR="00755D02" w:rsidRDefault="00755D02" w:rsidP="009D63B7">
            <w:pPr>
              <w:rPr>
                <w:sz w:val="20"/>
                <w:szCs w:val="20"/>
              </w:rPr>
            </w:pPr>
            <w:r w:rsidRPr="00B4415E">
              <w:rPr>
                <w:sz w:val="20"/>
                <w:szCs w:val="20"/>
              </w:rPr>
              <w:t>Moderate/substantial adverse</w:t>
            </w:r>
          </w:p>
          <w:p w14:paraId="4B329038" w14:textId="6968B262" w:rsidR="00755D02" w:rsidRPr="00CA63D0" w:rsidRDefault="00022F7E" w:rsidP="009D63B7">
            <w:pPr>
              <w:rPr>
                <w:color w:val="00B050"/>
                <w:sz w:val="20"/>
                <w:szCs w:val="20"/>
              </w:rPr>
            </w:pPr>
            <w:r w:rsidRPr="00022F7E">
              <w:rPr>
                <w:color w:val="00B050"/>
                <w:sz w:val="20"/>
                <w:szCs w:val="20"/>
              </w:rPr>
              <w:t>Substantial</w:t>
            </w:r>
            <w:r>
              <w:rPr>
                <w:color w:val="00B050"/>
                <w:sz w:val="20"/>
                <w:szCs w:val="20"/>
              </w:rPr>
              <w:t xml:space="preserve"> to Moderate adverse</w:t>
            </w:r>
          </w:p>
        </w:tc>
        <w:tc>
          <w:tcPr>
            <w:tcW w:w="1417" w:type="dxa"/>
          </w:tcPr>
          <w:p w14:paraId="6DD38D95" w14:textId="77777777" w:rsidR="00755D02" w:rsidRPr="00B4415E" w:rsidRDefault="00755D02" w:rsidP="009D63B7">
            <w:pPr>
              <w:rPr>
                <w:sz w:val="20"/>
                <w:szCs w:val="20"/>
              </w:rPr>
            </w:pPr>
            <w:r w:rsidRPr="00B4415E">
              <w:rPr>
                <w:sz w:val="20"/>
                <w:szCs w:val="20"/>
              </w:rPr>
              <w:t>Moderate</w:t>
            </w:r>
          </w:p>
          <w:p w14:paraId="67EB73C7" w14:textId="77777777" w:rsidR="00755D02" w:rsidRDefault="00755D02" w:rsidP="009D63B7">
            <w:pPr>
              <w:rPr>
                <w:sz w:val="20"/>
                <w:szCs w:val="20"/>
              </w:rPr>
            </w:pPr>
            <w:r w:rsidRPr="00B4415E">
              <w:rPr>
                <w:sz w:val="20"/>
                <w:szCs w:val="20"/>
              </w:rPr>
              <w:t>Adverse</w:t>
            </w:r>
          </w:p>
          <w:p w14:paraId="0CC3F8A4" w14:textId="7B290EBA" w:rsidR="00755D02" w:rsidRPr="00CA63D0" w:rsidRDefault="00022F7E" w:rsidP="009D63B7">
            <w:pPr>
              <w:rPr>
                <w:color w:val="00B050"/>
                <w:sz w:val="20"/>
                <w:szCs w:val="20"/>
              </w:rPr>
            </w:pPr>
            <w:r>
              <w:rPr>
                <w:color w:val="00B050"/>
                <w:sz w:val="20"/>
                <w:szCs w:val="20"/>
              </w:rPr>
              <w:t>Moderate adverse</w:t>
            </w:r>
          </w:p>
        </w:tc>
        <w:tc>
          <w:tcPr>
            <w:tcW w:w="2217" w:type="dxa"/>
          </w:tcPr>
          <w:p w14:paraId="552664E6" w14:textId="77777777" w:rsidR="00755D02" w:rsidRPr="00B4415E" w:rsidRDefault="00755D02" w:rsidP="009D63B7">
            <w:pPr>
              <w:rPr>
                <w:sz w:val="20"/>
                <w:szCs w:val="20"/>
              </w:rPr>
            </w:pPr>
            <w:r w:rsidRPr="00B4415E">
              <w:rPr>
                <w:sz w:val="20"/>
                <w:szCs w:val="20"/>
              </w:rPr>
              <w:t xml:space="preserve">Northern  part of footpath bordered by existing hedgerow </w:t>
            </w:r>
          </w:p>
        </w:tc>
      </w:tr>
      <w:tr w:rsidR="00755D02" w14:paraId="61F5F2F6" w14:textId="77777777" w:rsidTr="009D63B7">
        <w:tc>
          <w:tcPr>
            <w:tcW w:w="2982" w:type="dxa"/>
          </w:tcPr>
          <w:p w14:paraId="5008C856" w14:textId="77777777" w:rsidR="00755D02" w:rsidRPr="00B4415E" w:rsidRDefault="00755D02" w:rsidP="009D63B7">
            <w:pPr>
              <w:rPr>
                <w:sz w:val="20"/>
                <w:szCs w:val="20"/>
              </w:rPr>
            </w:pPr>
            <w:r w:rsidRPr="00B4415E">
              <w:rPr>
                <w:b/>
                <w:bCs/>
                <w:sz w:val="20"/>
                <w:szCs w:val="20"/>
              </w:rPr>
              <w:t>Photo 16</w:t>
            </w:r>
            <w:r w:rsidRPr="00B4415E">
              <w:rPr>
                <w:sz w:val="20"/>
                <w:szCs w:val="20"/>
              </w:rPr>
              <w:t xml:space="preserve"> View from Tollgate Road to the south of Tollgate Farm</w:t>
            </w:r>
          </w:p>
        </w:tc>
        <w:tc>
          <w:tcPr>
            <w:tcW w:w="2400" w:type="dxa"/>
          </w:tcPr>
          <w:p w14:paraId="7BFA76B0" w14:textId="77777777" w:rsidR="00755D02" w:rsidRDefault="00755D02" w:rsidP="009D63B7">
            <w:pPr>
              <w:rPr>
                <w:sz w:val="20"/>
                <w:szCs w:val="20"/>
              </w:rPr>
            </w:pPr>
            <w:r w:rsidRPr="00B4415E">
              <w:rPr>
                <w:sz w:val="20"/>
                <w:szCs w:val="20"/>
              </w:rPr>
              <w:t>Negligible adverse</w:t>
            </w:r>
          </w:p>
          <w:p w14:paraId="185C9FBF" w14:textId="51CA7BC7" w:rsidR="00755D02" w:rsidRPr="00CA63D0" w:rsidRDefault="00022F7E" w:rsidP="009D63B7">
            <w:pPr>
              <w:rPr>
                <w:color w:val="00B050"/>
                <w:sz w:val="20"/>
                <w:szCs w:val="20"/>
              </w:rPr>
            </w:pPr>
            <w:r>
              <w:rPr>
                <w:color w:val="00B050"/>
                <w:sz w:val="20"/>
                <w:szCs w:val="20"/>
              </w:rPr>
              <w:t>Negligible adverse</w:t>
            </w:r>
          </w:p>
        </w:tc>
        <w:tc>
          <w:tcPr>
            <w:tcW w:w="1417" w:type="dxa"/>
          </w:tcPr>
          <w:p w14:paraId="34691C88" w14:textId="77777777" w:rsidR="00755D02" w:rsidRDefault="00755D02" w:rsidP="009D63B7">
            <w:pPr>
              <w:rPr>
                <w:sz w:val="20"/>
                <w:szCs w:val="20"/>
              </w:rPr>
            </w:pPr>
            <w:r w:rsidRPr="00B4415E">
              <w:rPr>
                <w:sz w:val="20"/>
                <w:szCs w:val="20"/>
              </w:rPr>
              <w:t>Negligible adverse</w:t>
            </w:r>
          </w:p>
          <w:p w14:paraId="08D8B0AB" w14:textId="5573F3B0" w:rsidR="00755D02" w:rsidRPr="00CA63D0" w:rsidRDefault="00022F7E" w:rsidP="009D63B7">
            <w:pPr>
              <w:rPr>
                <w:color w:val="00B050"/>
                <w:sz w:val="20"/>
                <w:szCs w:val="20"/>
              </w:rPr>
            </w:pPr>
            <w:r>
              <w:rPr>
                <w:color w:val="00B050"/>
                <w:sz w:val="20"/>
                <w:szCs w:val="20"/>
              </w:rPr>
              <w:t>Negligible adverse</w:t>
            </w:r>
          </w:p>
        </w:tc>
        <w:tc>
          <w:tcPr>
            <w:tcW w:w="2217" w:type="dxa"/>
          </w:tcPr>
          <w:p w14:paraId="7BFE32F6" w14:textId="77777777" w:rsidR="00755D02" w:rsidRPr="00B4415E" w:rsidRDefault="00755D02" w:rsidP="009D63B7">
            <w:pPr>
              <w:rPr>
                <w:sz w:val="20"/>
                <w:szCs w:val="20"/>
              </w:rPr>
            </w:pPr>
          </w:p>
        </w:tc>
      </w:tr>
      <w:tr w:rsidR="00755D02" w14:paraId="570A7A10" w14:textId="77777777" w:rsidTr="009D63B7">
        <w:tc>
          <w:tcPr>
            <w:tcW w:w="2982" w:type="dxa"/>
          </w:tcPr>
          <w:p w14:paraId="3376C147" w14:textId="77777777" w:rsidR="00755D02" w:rsidRPr="00B4415E" w:rsidRDefault="00755D02" w:rsidP="009D63B7">
            <w:pPr>
              <w:rPr>
                <w:sz w:val="20"/>
                <w:szCs w:val="20"/>
              </w:rPr>
            </w:pPr>
            <w:r w:rsidRPr="00B4415E">
              <w:rPr>
                <w:b/>
                <w:bCs/>
                <w:sz w:val="20"/>
                <w:szCs w:val="20"/>
              </w:rPr>
              <w:t>Photomontage</w:t>
            </w:r>
            <w:r>
              <w:rPr>
                <w:sz w:val="20"/>
                <w:szCs w:val="20"/>
              </w:rPr>
              <w:t xml:space="preserve"> CSA 3925/121 View from North </w:t>
            </w:r>
            <w:proofErr w:type="spellStart"/>
            <w:r>
              <w:rPr>
                <w:sz w:val="20"/>
                <w:szCs w:val="20"/>
              </w:rPr>
              <w:t>Mymms</w:t>
            </w:r>
            <w:proofErr w:type="spellEnd"/>
            <w:r>
              <w:rPr>
                <w:sz w:val="20"/>
                <w:szCs w:val="20"/>
              </w:rPr>
              <w:t xml:space="preserve"> House.</w:t>
            </w:r>
          </w:p>
        </w:tc>
        <w:tc>
          <w:tcPr>
            <w:tcW w:w="2400" w:type="dxa"/>
          </w:tcPr>
          <w:p w14:paraId="6DE18892" w14:textId="77777777" w:rsidR="00755D02" w:rsidRDefault="00755D02" w:rsidP="009D63B7">
            <w:pPr>
              <w:rPr>
                <w:sz w:val="20"/>
                <w:szCs w:val="20"/>
              </w:rPr>
            </w:pPr>
            <w:r>
              <w:rPr>
                <w:sz w:val="20"/>
                <w:szCs w:val="20"/>
              </w:rPr>
              <w:t>Minimal adverse</w:t>
            </w:r>
          </w:p>
          <w:p w14:paraId="63B4E07E" w14:textId="66D1C8E4" w:rsidR="00755D02" w:rsidRPr="00CA63D0" w:rsidRDefault="00755D02" w:rsidP="009D63B7">
            <w:pPr>
              <w:rPr>
                <w:color w:val="00B050"/>
                <w:sz w:val="20"/>
                <w:szCs w:val="20"/>
              </w:rPr>
            </w:pPr>
          </w:p>
        </w:tc>
        <w:tc>
          <w:tcPr>
            <w:tcW w:w="1417" w:type="dxa"/>
          </w:tcPr>
          <w:p w14:paraId="2D152FC5" w14:textId="77777777" w:rsidR="00755D02" w:rsidRDefault="00755D02" w:rsidP="009D63B7">
            <w:pPr>
              <w:rPr>
                <w:sz w:val="20"/>
                <w:szCs w:val="20"/>
              </w:rPr>
            </w:pPr>
            <w:r>
              <w:rPr>
                <w:sz w:val="20"/>
                <w:szCs w:val="20"/>
              </w:rPr>
              <w:t>Neutral</w:t>
            </w:r>
          </w:p>
          <w:p w14:paraId="5E124FE6" w14:textId="40DCDDA4" w:rsidR="00755D02" w:rsidRPr="00CA63D0" w:rsidRDefault="00755D02" w:rsidP="009D63B7">
            <w:pPr>
              <w:rPr>
                <w:color w:val="00B050"/>
                <w:sz w:val="20"/>
                <w:szCs w:val="20"/>
              </w:rPr>
            </w:pPr>
          </w:p>
        </w:tc>
        <w:tc>
          <w:tcPr>
            <w:tcW w:w="2217" w:type="dxa"/>
          </w:tcPr>
          <w:p w14:paraId="7F901F37" w14:textId="77777777" w:rsidR="00755D02" w:rsidRPr="00B4415E" w:rsidRDefault="00755D02" w:rsidP="009D63B7">
            <w:pPr>
              <w:rPr>
                <w:sz w:val="20"/>
                <w:szCs w:val="20"/>
              </w:rPr>
            </w:pPr>
            <w:r>
              <w:rPr>
                <w:sz w:val="20"/>
                <w:szCs w:val="20"/>
              </w:rPr>
              <w:t xml:space="preserve">Private View </w:t>
            </w:r>
          </w:p>
        </w:tc>
      </w:tr>
      <w:tr w:rsidR="00755D02" w14:paraId="07F33D69" w14:textId="77777777" w:rsidTr="009D63B7">
        <w:tc>
          <w:tcPr>
            <w:tcW w:w="2982" w:type="dxa"/>
            <w:shd w:val="clear" w:color="auto" w:fill="92D050"/>
          </w:tcPr>
          <w:p w14:paraId="47F9A608" w14:textId="77777777" w:rsidR="00755D02" w:rsidRPr="00842906" w:rsidRDefault="00755D02" w:rsidP="009D63B7">
            <w:pPr>
              <w:rPr>
                <w:b/>
                <w:bCs/>
                <w:sz w:val="20"/>
                <w:szCs w:val="20"/>
              </w:rPr>
            </w:pPr>
            <w:r w:rsidRPr="00842906">
              <w:rPr>
                <w:b/>
                <w:bCs/>
                <w:sz w:val="20"/>
                <w:szCs w:val="20"/>
              </w:rPr>
              <w:t xml:space="preserve">Landscape Effects </w:t>
            </w:r>
          </w:p>
        </w:tc>
        <w:tc>
          <w:tcPr>
            <w:tcW w:w="2400" w:type="dxa"/>
            <w:shd w:val="clear" w:color="auto" w:fill="92D050"/>
          </w:tcPr>
          <w:p w14:paraId="4F63622A" w14:textId="77777777" w:rsidR="00755D02" w:rsidRDefault="00755D02" w:rsidP="009D63B7"/>
        </w:tc>
        <w:tc>
          <w:tcPr>
            <w:tcW w:w="1417" w:type="dxa"/>
            <w:shd w:val="clear" w:color="auto" w:fill="92D050"/>
          </w:tcPr>
          <w:p w14:paraId="32B9B642" w14:textId="77777777" w:rsidR="00755D02" w:rsidRDefault="00755D02" w:rsidP="009D63B7"/>
        </w:tc>
        <w:tc>
          <w:tcPr>
            <w:tcW w:w="2217" w:type="dxa"/>
            <w:shd w:val="clear" w:color="auto" w:fill="92D050"/>
          </w:tcPr>
          <w:p w14:paraId="1991C304" w14:textId="77777777" w:rsidR="00755D02" w:rsidRDefault="00755D02" w:rsidP="009D63B7"/>
        </w:tc>
      </w:tr>
      <w:tr w:rsidR="00755D02" w14:paraId="08D1C188" w14:textId="77777777" w:rsidTr="009D63B7">
        <w:tc>
          <w:tcPr>
            <w:tcW w:w="2982" w:type="dxa"/>
          </w:tcPr>
          <w:p w14:paraId="1987872A" w14:textId="77777777" w:rsidR="00755D02" w:rsidRPr="00842906" w:rsidRDefault="00755D02" w:rsidP="009D63B7">
            <w:pPr>
              <w:rPr>
                <w:sz w:val="20"/>
                <w:szCs w:val="20"/>
              </w:rPr>
            </w:pPr>
            <w:r w:rsidRPr="00842906">
              <w:rPr>
                <w:sz w:val="20"/>
                <w:szCs w:val="20"/>
              </w:rPr>
              <w:t>Trees and hedgerows</w:t>
            </w:r>
          </w:p>
        </w:tc>
        <w:tc>
          <w:tcPr>
            <w:tcW w:w="2400" w:type="dxa"/>
          </w:tcPr>
          <w:p w14:paraId="7F591B90" w14:textId="77777777" w:rsidR="00755D02" w:rsidRDefault="00755D02" w:rsidP="009D63B7">
            <w:pPr>
              <w:rPr>
                <w:sz w:val="20"/>
                <w:szCs w:val="20"/>
              </w:rPr>
            </w:pPr>
            <w:r w:rsidRPr="00842906">
              <w:rPr>
                <w:sz w:val="20"/>
                <w:szCs w:val="20"/>
              </w:rPr>
              <w:t>Negligible</w:t>
            </w:r>
            <w:r>
              <w:rPr>
                <w:sz w:val="20"/>
                <w:szCs w:val="20"/>
              </w:rPr>
              <w:t>/moderate</w:t>
            </w:r>
            <w:r w:rsidRPr="00842906">
              <w:rPr>
                <w:sz w:val="20"/>
                <w:szCs w:val="20"/>
              </w:rPr>
              <w:t xml:space="preserve"> beneficial </w:t>
            </w:r>
          </w:p>
          <w:p w14:paraId="03A76F77" w14:textId="05B972C2" w:rsidR="00755D02" w:rsidRPr="00CA63D0" w:rsidRDefault="00022F7E" w:rsidP="009D63B7">
            <w:pPr>
              <w:rPr>
                <w:color w:val="00B050"/>
                <w:sz w:val="20"/>
                <w:szCs w:val="20"/>
              </w:rPr>
            </w:pPr>
            <w:r w:rsidRPr="00B4415E">
              <w:rPr>
                <w:color w:val="00B050"/>
                <w:sz w:val="20"/>
                <w:szCs w:val="20"/>
              </w:rPr>
              <w:t>N</w:t>
            </w:r>
            <w:r>
              <w:rPr>
                <w:color w:val="00B050"/>
                <w:sz w:val="20"/>
                <w:szCs w:val="20"/>
              </w:rPr>
              <w:t>egligible beneficial</w:t>
            </w:r>
          </w:p>
        </w:tc>
        <w:tc>
          <w:tcPr>
            <w:tcW w:w="1417" w:type="dxa"/>
          </w:tcPr>
          <w:p w14:paraId="496BDC88" w14:textId="77777777" w:rsidR="00755D02" w:rsidRDefault="00755D02" w:rsidP="009D63B7">
            <w:pPr>
              <w:rPr>
                <w:sz w:val="20"/>
                <w:szCs w:val="20"/>
              </w:rPr>
            </w:pPr>
            <w:r w:rsidRPr="00842906">
              <w:rPr>
                <w:sz w:val="20"/>
                <w:szCs w:val="20"/>
              </w:rPr>
              <w:t xml:space="preserve">Moderate beneficial </w:t>
            </w:r>
          </w:p>
          <w:p w14:paraId="4ECA3BC9" w14:textId="5A7EEDC1" w:rsidR="00755D02" w:rsidRPr="00CA63D0" w:rsidRDefault="00022F7E" w:rsidP="009D63B7">
            <w:pPr>
              <w:rPr>
                <w:color w:val="00B050"/>
                <w:sz w:val="20"/>
                <w:szCs w:val="20"/>
              </w:rPr>
            </w:pPr>
            <w:r>
              <w:rPr>
                <w:color w:val="00B050"/>
                <w:sz w:val="20"/>
                <w:szCs w:val="20"/>
              </w:rPr>
              <w:t>moderate beneficial</w:t>
            </w:r>
          </w:p>
        </w:tc>
        <w:tc>
          <w:tcPr>
            <w:tcW w:w="2217" w:type="dxa"/>
          </w:tcPr>
          <w:p w14:paraId="3F64605E" w14:textId="77777777" w:rsidR="00755D02" w:rsidRDefault="00755D02" w:rsidP="009D63B7"/>
        </w:tc>
      </w:tr>
      <w:tr w:rsidR="00755D02" w14:paraId="4D4543A9" w14:textId="77777777" w:rsidTr="009D63B7">
        <w:tc>
          <w:tcPr>
            <w:tcW w:w="2982" w:type="dxa"/>
          </w:tcPr>
          <w:p w14:paraId="71FA278A" w14:textId="77777777" w:rsidR="00755D02" w:rsidRPr="00842906" w:rsidRDefault="00755D02" w:rsidP="009D63B7">
            <w:pPr>
              <w:rPr>
                <w:sz w:val="20"/>
                <w:szCs w:val="20"/>
              </w:rPr>
            </w:pPr>
            <w:r w:rsidRPr="00842906">
              <w:rPr>
                <w:sz w:val="20"/>
                <w:szCs w:val="20"/>
              </w:rPr>
              <w:t>Colne</w:t>
            </w:r>
            <w:r>
              <w:rPr>
                <w:sz w:val="20"/>
                <w:szCs w:val="20"/>
              </w:rPr>
              <w:t>y Farm</w:t>
            </w:r>
            <w:r w:rsidRPr="00842906">
              <w:rPr>
                <w:sz w:val="20"/>
                <w:szCs w:val="20"/>
              </w:rPr>
              <w:t xml:space="preserve"> Meadow</w:t>
            </w:r>
            <w:r>
              <w:rPr>
                <w:sz w:val="20"/>
                <w:szCs w:val="20"/>
              </w:rPr>
              <w:t>s Wildlife Site</w:t>
            </w:r>
            <w:r w:rsidRPr="00842906">
              <w:rPr>
                <w:sz w:val="20"/>
                <w:szCs w:val="20"/>
              </w:rPr>
              <w:t xml:space="preserve"> </w:t>
            </w:r>
          </w:p>
        </w:tc>
        <w:tc>
          <w:tcPr>
            <w:tcW w:w="2400" w:type="dxa"/>
          </w:tcPr>
          <w:p w14:paraId="24CBCE9F" w14:textId="77777777" w:rsidR="00755D02" w:rsidRDefault="00755D02" w:rsidP="009D63B7">
            <w:pPr>
              <w:rPr>
                <w:sz w:val="20"/>
                <w:szCs w:val="20"/>
              </w:rPr>
            </w:pPr>
            <w:r w:rsidRPr="00842906">
              <w:rPr>
                <w:sz w:val="20"/>
                <w:szCs w:val="20"/>
              </w:rPr>
              <w:t xml:space="preserve">Moderate beneficial </w:t>
            </w:r>
          </w:p>
          <w:p w14:paraId="752B8908" w14:textId="2AE76C67" w:rsidR="00755D02" w:rsidRPr="00CA63D0" w:rsidRDefault="00022F7E" w:rsidP="009D63B7">
            <w:pPr>
              <w:rPr>
                <w:color w:val="00B050"/>
                <w:sz w:val="20"/>
                <w:szCs w:val="20"/>
              </w:rPr>
            </w:pPr>
            <w:r>
              <w:rPr>
                <w:color w:val="00B050"/>
                <w:sz w:val="20"/>
                <w:szCs w:val="20"/>
              </w:rPr>
              <w:t>Neutra</w:t>
            </w:r>
          </w:p>
        </w:tc>
        <w:tc>
          <w:tcPr>
            <w:tcW w:w="1417" w:type="dxa"/>
          </w:tcPr>
          <w:p w14:paraId="2234DD49" w14:textId="77777777" w:rsidR="00755D02" w:rsidRDefault="00755D02" w:rsidP="009D63B7">
            <w:pPr>
              <w:rPr>
                <w:sz w:val="20"/>
                <w:szCs w:val="20"/>
              </w:rPr>
            </w:pPr>
            <w:r w:rsidRPr="00842906">
              <w:rPr>
                <w:sz w:val="20"/>
                <w:szCs w:val="20"/>
              </w:rPr>
              <w:t>Moderate</w:t>
            </w:r>
            <w:r>
              <w:rPr>
                <w:sz w:val="20"/>
                <w:szCs w:val="20"/>
              </w:rPr>
              <w:t>/</w:t>
            </w:r>
            <w:r w:rsidRPr="00842906">
              <w:rPr>
                <w:sz w:val="20"/>
                <w:szCs w:val="20"/>
              </w:rPr>
              <w:t xml:space="preserve"> substantial beneficial</w:t>
            </w:r>
          </w:p>
          <w:p w14:paraId="3F06D1DF" w14:textId="1A2D5D11" w:rsidR="00755D02" w:rsidRPr="00CA63D0" w:rsidRDefault="00022F7E" w:rsidP="009D63B7">
            <w:pPr>
              <w:rPr>
                <w:color w:val="00B050"/>
                <w:sz w:val="20"/>
                <w:szCs w:val="20"/>
              </w:rPr>
            </w:pPr>
            <w:r>
              <w:rPr>
                <w:color w:val="00B050"/>
                <w:sz w:val="20"/>
                <w:szCs w:val="20"/>
              </w:rPr>
              <w:t>Neutral</w:t>
            </w:r>
          </w:p>
        </w:tc>
        <w:tc>
          <w:tcPr>
            <w:tcW w:w="2217" w:type="dxa"/>
          </w:tcPr>
          <w:p w14:paraId="03AE3574" w14:textId="77777777" w:rsidR="00755D02" w:rsidRDefault="00755D02" w:rsidP="009D63B7"/>
        </w:tc>
      </w:tr>
      <w:tr w:rsidR="00755D02" w14:paraId="0829807E" w14:textId="77777777" w:rsidTr="009D63B7">
        <w:tc>
          <w:tcPr>
            <w:tcW w:w="2982" w:type="dxa"/>
          </w:tcPr>
          <w:p w14:paraId="75417DC9" w14:textId="77777777" w:rsidR="00755D02" w:rsidRPr="00B03B0F" w:rsidRDefault="00755D02" w:rsidP="009D63B7">
            <w:pPr>
              <w:rPr>
                <w:sz w:val="20"/>
                <w:szCs w:val="20"/>
              </w:rPr>
            </w:pPr>
            <w:r w:rsidRPr="00C359D3">
              <w:rPr>
                <w:b/>
                <w:bCs/>
                <w:sz w:val="20"/>
                <w:szCs w:val="20"/>
              </w:rPr>
              <w:t>Existing landscape quality</w:t>
            </w:r>
            <w:r>
              <w:rPr>
                <w:sz w:val="20"/>
                <w:szCs w:val="20"/>
              </w:rPr>
              <w:t xml:space="preserve"> of site: </w:t>
            </w:r>
            <w:r w:rsidRPr="00B03B0F">
              <w:rPr>
                <w:sz w:val="20"/>
                <w:szCs w:val="20"/>
              </w:rPr>
              <w:t xml:space="preserve">Horse grazed paddocks and associated infrastructure </w:t>
            </w:r>
          </w:p>
        </w:tc>
        <w:tc>
          <w:tcPr>
            <w:tcW w:w="2400" w:type="dxa"/>
          </w:tcPr>
          <w:p w14:paraId="6C838E97" w14:textId="77777777" w:rsidR="00755D02" w:rsidRDefault="00755D02" w:rsidP="009D63B7">
            <w:pPr>
              <w:rPr>
                <w:sz w:val="20"/>
                <w:szCs w:val="20"/>
              </w:rPr>
            </w:pPr>
            <w:r w:rsidRPr="00C359D3">
              <w:rPr>
                <w:sz w:val="20"/>
                <w:szCs w:val="20"/>
              </w:rPr>
              <w:t>Medium/Low</w:t>
            </w:r>
            <w:r>
              <w:rPr>
                <w:sz w:val="20"/>
                <w:szCs w:val="20"/>
              </w:rPr>
              <w:t xml:space="preserve"> quality</w:t>
            </w:r>
          </w:p>
          <w:p w14:paraId="0194BF6A" w14:textId="39D53B09" w:rsidR="00755D02" w:rsidRPr="00CA63D0" w:rsidRDefault="00022F7E" w:rsidP="009D63B7">
            <w:pPr>
              <w:rPr>
                <w:color w:val="00B050"/>
                <w:sz w:val="20"/>
                <w:szCs w:val="20"/>
              </w:rPr>
            </w:pPr>
            <w:r>
              <w:rPr>
                <w:color w:val="00B050"/>
                <w:sz w:val="20"/>
                <w:szCs w:val="20"/>
              </w:rPr>
              <w:t>Medium</w:t>
            </w:r>
          </w:p>
        </w:tc>
        <w:tc>
          <w:tcPr>
            <w:tcW w:w="1417" w:type="dxa"/>
          </w:tcPr>
          <w:p w14:paraId="427FEDD2" w14:textId="77777777" w:rsidR="00755D02" w:rsidRDefault="00755D02" w:rsidP="009D63B7"/>
        </w:tc>
        <w:tc>
          <w:tcPr>
            <w:tcW w:w="2217" w:type="dxa"/>
          </w:tcPr>
          <w:p w14:paraId="40D3607D" w14:textId="77777777" w:rsidR="00755D02" w:rsidRDefault="00755D02" w:rsidP="009D63B7"/>
        </w:tc>
      </w:tr>
      <w:tr w:rsidR="00755D02" w14:paraId="19FB4804" w14:textId="77777777" w:rsidTr="009D63B7">
        <w:tc>
          <w:tcPr>
            <w:tcW w:w="2982" w:type="dxa"/>
          </w:tcPr>
          <w:p w14:paraId="3B331686" w14:textId="77777777" w:rsidR="00755D02" w:rsidRPr="00CE3ABA" w:rsidRDefault="00755D02" w:rsidP="009D63B7">
            <w:pPr>
              <w:rPr>
                <w:sz w:val="20"/>
                <w:szCs w:val="20"/>
              </w:rPr>
            </w:pPr>
            <w:r w:rsidRPr="00CE3ABA">
              <w:rPr>
                <w:b/>
                <w:bCs/>
                <w:sz w:val="20"/>
                <w:szCs w:val="20"/>
              </w:rPr>
              <w:t>Landscape sensitivity</w:t>
            </w:r>
            <w:r w:rsidRPr="00CE3ABA">
              <w:rPr>
                <w:sz w:val="20"/>
                <w:szCs w:val="20"/>
              </w:rPr>
              <w:t>: To medium density housing. Max 2 ½ storeys high.</w:t>
            </w:r>
          </w:p>
        </w:tc>
        <w:tc>
          <w:tcPr>
            <w:tcW w:w="2400" w:type="dxa"/>
          </w:tcPr>
          <w:p w14:paraId="31F3E7B9" w14:textId="77777777" w:rsidR="00755D02" w:rsidRPr="00CE3ABA" w:rsidRDefault="00755D02" w:rsidP="009D63B7">
            <w:pPr>
              <w:rPr>
                <w:sz w:val="20"/>
                <w:szCs w:val="20"/>
              </w:rPr>
            </w:pPr>
            <w:r w:rsidRPr="00CE3ABA">
              <w:rPr>
                <w:sz w:val="20"/>
                <w:szCs w:val="20"/>
              </w:rPr>
              <w:t>Medium/Low</w:t>
            </w:r>
          </w:p>
          <w:p w14:paraId="2297F94D" w14:textId="62C9CE27" w:rsidR="00755D02" w:rsidRPr="00CA63D0" w:rsidRDefault="00022F7E" w:rsidP="009D63B7">
            <w:pPr>
              <w:rPr>
                <w:color w:val="00B050"/>
                <w:sz w:val="20"/>
                <w:szCs w:val="20"/>
              </w:rPr>
            </w:pPr>
            <w:r>
              <w:rPr>
                <w:color w:val="00B050"/>
                <w:sz w:val="20"/>
                <w:szCs w:val="20"/>
              </w:rPr>
              <w:t>Medium/Low</w:t>
            </w:r>
          </w:p>
        </w:tc>
        <w:tc>
          <w:tcPr>
            <w:tcW w:w="1417" w:type="dxa"/>
          </w:tcPr>
          <w:p w14:paraId="3B43B54C" w14:textId="77777777" w:rsidR="00755D02" w:rsidRPr="00CE3ABA" w:rsidRDefault="00755D02" w:rsidP="009D63B7">
            <w:pPr>
              <w:rPr>
                <w:sz w:val="20"/>
                <w:szCs w:val="20"/>
              </w:rPr>
            </w:pPr>
          </w:p>
        </w:tc>
        <w:tc>
          <w:tcPr>
            <w:tcW w:w="2217" w:type="dxa"/>
          </w:tcPr>
          <w:p w14:paraId="2F8EF289" w14:textId="77777777" w:rsidR="00755D02" w:rsidRDefault="00755D02" w:rsidP="009D63B7"/>
        </w:tc>
      </w:tr>
      <w:tr w:rsidR="00755D02" w14:paraId="0A348908" w14:textId="77777777" w:rsidTr="009D63B7">
        <w:tc>
          <w:tcPr>
            <w:tcW w:w="2982" w:type="dxa"/>
          </w:tcPr>
          <w:p w14:paraId="5806778D" w14:textId="77777777" w:rsidR="00755D02" w:rsidRPr="00CE3ABA" w:rsidRDefault="00755D02" w:rsidP="009D63B7">
            <w:pPr>
              <w:rPr>
                <w:sz w:val="20"/>
                <w:szCs w:val="20"/>
              </w:rPr>
            </w:pPr>
            <w:r>
              <w:rPr>
                <w:b/>
                <w:bCs/>
                <w:sz w:val="20"/>
                <w:szCs w:val="20"/>
              </w:rPr>
              <w:t xml:space="preserve">Impact on </w:t>
            </w:r>
            <w:r w:rsidRPr="00CE3ABA">
              <w:rPr>
                <w:b/>
                <w:bCs/>
                <w:sz w:val="20"/>
                <w:szCs w:val="20"/>
              </w:rPr>
              <w:t>Landscape Character</w:t>
            </w:r>
            <w:r w:rsidRPr="00CE3ABA">
              <w:rPr>
                <w:sz w:val="20"/>
                <w:szCs w:val="20"/>
              </w:rPr>
              <w:t xml:space="preserve"> of the Site</w:t>
            </w:r>
          </w:p>
        </w:tc>
        <w:tc>
          <w:tcPr>
            <w:tcW w:w="2400" w:type="dxa"/>
          </w:tcPr>
          <w:p w14:paraId="0B253B9C" w14:textId="77777777" w:rsidR="00755D02" w:rsidRPr="00CE3ABA" w:rsidRDefault="00755D02" w:rsidP="009D63B7">
            <w:pPr>
              <w:rPr>
                <w:sz w:val="20"/>
                <w:szCs w:val="20"/>
              </w:rPr>
            </w:pPr>
            <w:r w:rsidRPr="00CE3ABA">
              <w:rPr>
                <w:sz w:val="20"/>
                <w:szCs w:val="20"/>
              </w:rPr>
              <w:t>Moderate adverse</w:t>
            </w:r>
          </w:p>
          <w:p w14:paraId="15406B59" w14:textId="6BB84BD1" w:rsidR="00755D02" w:rsidRPr="00CA63D0" w:rsidRDefault="00891829" w:rsidP="009D63B7">
            <w:pPr>
              <w:rPr>
                <w:color w:val="00B050"/>
                <w:sz w:val="20"/>
                <w:szCs w:val="20"/>
              </w:rPr>
            </w:pPr>
            <w:r>
              <w:rPr>
                <w:color w:val="00B050"/>
                <w:sz w:val="20"/>
                <w:szCs w:val="20"/>
              </w:rPr>
              <w:t>Substantial adverse</w:t>
            </w:r>
          </w:p>
        </w:tc>
        <w:tc>
          <w:tcPr>
            <w:tcW w:w="1417" w:type="dxa"/>
          </w:tcPr>
          <w:p w14:paraId="6362F8EA" w14:textId="77777777" w:rsidR="00755D02" w:rsidRPr="00CE3ABA" w:rsidRDefault="00755D02" w:rsidP="009D63B7">
            <w:pPr>
              <w:rPr>
                <w:sz w:val="20"/>
                <w:szCs w:val="20"/>
              </w:rPr>
            </w:pPr>
            <w:r w:rsidRPr="00CE3ABA">
              <w:rPr>
                <w:sz w:val="20"/>
                <w:szCs w:val="20"/>
              </w:rPr>
              <w:t>Moderate Adverse</w:t>
            </w:r>
          </w:p>
          <w:p w14:paraId="3EF218E5" w14:textId="4E39D137" w:rsidR="00755D02" w:rsidRPr="00CA63D0" w:rsidRDefault="00891829" w:rsidP="009D63B7">
            <w:pPr>
              <w:rPr>
                <w:color w:val="00B050"/>
                <w:sz w:val="20"/>
                <w:szCs w:val="20"/>
              </w:rPr>
            </w:pPr>
            <w:r>
              <w:rPr>
                <w:color w:val="00B050"/>
                <w:sz w:val="20"/>
                <w:szCs w:val="20"/>
              </w:rPr>
              <w:t>Substantial adverse</w:t>
            </w:r>
          </w:p>
        </w:tc>
        <w:tc>
          <w:tcPr>
            <w:tcW w:w="2217" w:type="dxa"/>
          </w:tcPr>
          <w:p w14:paraId="68B1DB3C" w14:textId="77777777" w:rsidR="00755D02" w:rsidRDefault="00755D02" w:rsidP="009D63B7"/>
        </w:tc>
      </w:tr>
      <w:tr w:rsidR="00755D02" w14:paraId="66DB1E89" w14:textId="77777777" w:rsidTr="009D63B7">
        <w:tc>
          <w:tcPr>
            <w:tcW w:w="2982" w:type="dxa"/>
          </w:tcPr>
          <w:p w14:paraId="1C79B187" w14:textId="77777777" w:rsidR="00755D02" w:rsidRPr="00CE3ABA" w:rsidRDefault="00755D02" w:rsidP="009D63B7">
            <w:pPr>
              <w:rPr>
                <w:b/>
                <w:bCs/>
                <w:sz w:val="20"/>
                <w:szCs w:val="20"/>
              </w:rPr>
            </w:pPr>
            <w:r w:rsidRPr="00CE3ABA">
              <w:rPr>
                <w:b/>
                <w:bCs/>
                <w:sz w:val="20"/>
                <w:szCs w:val="20"/>
              </w:rPr>
              <w:t xml:space="preserve">Neighbouring landscape </w:t>
            </w:r>
          </w:p>
        </w:tc>
        <w:tc>
          <w:tcPr>
            <w:tcW w:w="2400" w:type="dxa"/>
          </w:tcPr>
          <w:p w14:paraId="039C55AC" w14:textId="77777777" w:rsidR="00755D02" w:rsidRDefault="00755D02" w:rsidP="009D63B7">
            <w:pPr>
              <w:rPr>
                <w:sz w:val="20"/>
                <w:szCs w:val="20"/>
              </w:rPr>
            </w:pPr>
            <w:r w:rsidRPr="00CE3ABA">
              <w:rPr>
                <w:sz w:val="20"/>
                <w:szCs w:val="20"/>
              </w:rPr>
              <w:t>Moderate adverse</w:t>
            </w:r>
          </w:p>
          <w:p w14:paraId="5AA9D524" w14:textId="4F6B3745" w:rsidR="00755D02" w:rsidRPr="00CA63D0" w:rsidRDefault="00891829" w:rsidP="009D63B7">
            <w:pPr>
              <w:rPr>
                <w:color w:val="00B050"/>
                <w:sz w:val="20"/>
                <w:szCs w:val="20"/>
              </w:rPr>
            </w:pPr>
            <w:r>
              <w:rPr>
                <w:color w:val="00B050"/>
                <w:sz w:val="20"/>
                <w:szCs w:val="20"/>
              </w:rPr>
              <w:t>Moderate adverse</w:t>
            </w:r>
          </w:p>
        </w:tc>
        <w:tc>
          <w:tcPr>
            <w:tcW w:w="1417" w:type="dxa"/>
          </w:tcPr>
          <w:p w14:paraId="4062A3F7" w14:textId="77777777" w:rsidR="00755D02" w:rsidRDefault="00755D02" w:rsidP="009D63B7">
            <w:pPr>
              <w:rPr>
                <w:sz w:val="20"/>
                <w:szCs w:val="20"/>
              </w:rPr>
            </w:pPr>
            <w:r w:rsidRPr="00CE3ABA">
              <w:rPr>
                <w:sz w:val="20"/>
                <w:szCs w:val="20"/>
              </w:rPr>
              <w:t xml:space="preserve">Slight </w:t>
            </w:r>
          </w:p>
          <w:p w14:paraId="23390510" w14:textId="77777777" w:rsidR="00755D02" w:rsidRDefault="00755D02" w:rsidP="009D63B7">
            <w:pPr>
              <w:rPr>
                <w:sz w:val="20"/>
                <w:szCs w:val="20"/>
              </w:rPr>
            </w:pPr>
            <w:r w:rsidRPr="00CE3ABA">
              <w:rPr>
                <w:sz w:val="20"/>
                <w:szCs w:val="20"/>
              </w:rPr>
              <w:t>Adverse</w:t>
            </w:r>
          </w:p>
          <w:p w14:paraId="3FFDD87B" w14:textId="5610938B" w:rsidR="00755D02" w:rsidRPr="00CA63D0" w:rsidRDefault="00891829" w:rsidP="009D63B7">
            <w:pPr>
              <w:rPr>
                <w:color w:val="00B050"/>
                <w:sz w:val="20"/>
                <w:szCs w:val="20"/>
              </w:rPr>
            </w:pPr>
            <w:r>
              <w:rPr>
                <w:color w:val="00B050"/>
                <w:sz w:val="20"/>
                <w:szCs w:val="20"/>
              </w:rPr>
              <w:t>Moderate to Slight adverse</w:t>
            </w:r>
          </w:p>
        </w:tc>
        <w:tc>
          <w:tcPr>
            <w:tcW w:w="2217" w:type="dxa"/>
          </w:tcPr>
          <w:p w14:paraId="0866B284" w14:textId="77777777" w:rsidR="00755D02" w:rsidRDefault="00755D02" w:rsidP="009D63B7"/>
        </w:tc>
      </w:tr>
      <w:tr w:rsidR="00755D02" w14:paraId="49AA2FCE" w14:textId="77777777" w:rsidTr="009D63B7">
        <w:tc>
          <w:tcPr>
            <w:tcW w:w="2982" w:type="dxa"/>
          </w:tcPr>
          <w:p w14:paraId="7F2F4A87" w14:textId="77777777" w:rsidR="00755D02" w:rsidRPr="00CE3ABA" w:rsidRDefault="00755D02" w:rsidP="009D63B7">
            <w:pPr>
              <w:rPr>
                <w:b/>
                <w:bCs/>
                <w:sz w:val="20"/>
                <w:szCs w:val="20"/>
              </w:rPr>
            </w:pPr>
            <w:r w:rsidRPr="00CE3ABA">
              <w:rPr>
                <w:b/>
                <w:bCs/>
                <w:sz w:val="20"/>
                <w:szCs w:val="20"/>
              </w:rPr>
              <w:t>Wider landscape</w:t>
            </w:r>
          </w:p>
        </w:tc>
        <w:tc>
          <w:tcPr>
            <w:tcW w:w="2400" w:type="dxa"/>
          </w:tcPr>
          <w:p w14:paraId="544B184D" w14:textId="77777777" w:rsidR="00755D02" w:rsidRDefault="00755D02" w:rsidP="009D63B7">
            <w:pPr>
              <w:rPr>
                <w:sz w:val="20"/>
                <w:szCs w:val="20"/>
              </w:rPr>
            </w:pPr>
            <w:r w:rsidRPr="00CE3ABA">
              <w:rPr>
                <w:sz w:val="20"/>
                <w:szCs w:val="20"/>
              </w:rPr>
              <w:t>Negligible adverse</w:t>
            </w:r>
          </w:p>
          <w:p w14:paraId="1842996E" w14:textId="0283D64F" w:rsidR="00755D02" w:rsidRPr="00CA63D0" w:rsidRDefault="00891829" w:rsidP="009D63B7">
            <w:pPr>
              <w:rPr>
                <w:color w:val="00B050"/>
                <w:sz w:val="20"/>
                <w:szCs w:val="20"/>
              </w:rPr>
            </w:pPr>
            <w:r>
              <w:rPr>
                <w:color w:val="00B050"/>
                <w:sz w:val="20"/>
                <w:szCs w:val="20"/>
              </w:rPr>
              <w:t>Moderate adverse</w:t>
            </w:r>
          </w:p>
        </w:tc>
        <w:tc>
          <w:tcPr>
            <w:tcW w:w="1417" w:type="dxa"/>
          </w:tcPr>
          <w:p w14:paraId="4E04C257" w14:textId="77777777" w:rsidR="00755D02" w:rsidRDefault="00755D02" w:rsidP="009D63B7">
            <w:pPr>
              <w:rPr>
                <w:sz w:val="20"/>
                <w:szCs w:val="20"/>
              </w:rPr>
            </w:pPr>
            <w:r w:rsidRPr="00CE3ABA">
              <w:rPr>
                <w:sz w:val="20"/>
                <w:szCs w:val="20"/>
              </w:rPr>
              <w:t>Negligible adverse</w:t>
            </w:r>
          </w:p>
          <w:p w14:paraId="4C75E3DF" w14:textId="4BB15A6E" w:rsidR="00755D02" w:rsidRPr="00CA63D0" w:rsidRDefault="00891829" w:rsidP="009D63B7">
            <w:pPr>
              <w:rPr>
                <w:color w:val="00B050"/>
                <w:sz w:val="20"/>
                <w:szCs w:val="20"/>
              </w:rPr>
            </w:pPr>
            <w:r>
              <w:rPr>
                <w:color w:val="00B050"/>
                <w:sz w:val="20"/>
                <w:szCs w:val="20"/>
              </w:rPr>
              <w:t>Slight adverse</w:t>
            </w:r>
          </w:p>
        </w:tc>
        <w:tc>
          <w:tcPr>
            <w:tcW w:w="2217" w:type="dxa"/>
          </w:tcPr>
          <w:p w14:paraId="61B3CC1C" w14:textId="77777777" w:rsidR="00755D02" w:rsidRDefault="00755D02" w:rsidP="009D63B7"/>
        </w:tc>
      </w:tr>
    </w:tbl>
    <w:p w14:paraId="4F62E8E6" w14:textId="77777777" w:rsidR="00755D02" w:rsidRDefault="00755D02" w:rsidP="00755D02"/>
    <w:p w14:paraId="208D9F17" w14:textId="77777777" w:rsidR="00755D02" w:rsidRDefault="00755D02" w:rsidP="00755D02">
      <w:pPr>
        <w:pStyle w:val="NoSpacing"/>
        <w:numPr>
          <w:ilvl w:val="0"/>
          <w:numId w:val="0"/>
        </w:numPr>
        <w:ind w:left="567"/>
      </w:pPr>
    </w:p>
    <w:p w14:paraId="3E9C814B" w14:textId="77777777" w:rsidR="00F81292" w:rsidRDefault="00F81292" w:rsidP="00545841">
      <w:pPr>
        <w:rPr>
          <w:rFonts w:ascii="Century Gothic" w:hAnsi="Century Gothic"/>
          <w:sz w:val="24"/>
          <w:szCs w:val="24"/>
        </w:rPr>
      </w:pPr>
    </w:p>
    <w:p w14:paraId="1A97020D" w14:textId="77777777" w:rsidR="00F81292" w:rsidRDefault="00F81292" w:rsidP="00545841">
      <w:pPr>
        <w:rPr>
          <w:rFonts w:ascii="Century Gothic" w:hAnsi="Century Gothic"/>
          <w:sz w:val="24"/>
          <w:szCs w:val="24"/>
        </w:rPr>
      </w:pPr>
    </w:p>
    <w:p w14:paraId="2A01F336" w14:textId="27DC2294" w:rsidR="003B0FB8" w:rsidRDefault="003B0FB8" w:rsidP="00545841">
      <w:pPr>
        <w:rPr>
          <w:rFonts w:ascii="Century Gothic" w:hAnsi="Century Gothic"/>
          <w:sz w:val="24"/>
          <w:szCs w:val="24"/>
        </w:rPr>
      </w:pPr>
    </w:p>
    <w:p w14:paraId="432757F0" w14:textId="50008075" w:rsidR="003B0FB8" w:rsidRPr="007E00D0" w:rsidRDefault="003B0FB8" w:rsidP="00545841">
      <w:pPr>
        <w:rPr>
          <w:rFonts w:ascii="Century Gothic" w:hAnsi="Century Gothic"/>
          <w:sz w:val="24"/>
          <w:szCs w:val="24"/>
        </w:rPr>
      </w:pPr>
    </w:p>
    <w:sectPr w:rsidR="003B0FB8" w:rsidRPr="007E00D0" w:rsidSect="00D10F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61C6" w14:textId="77777777" w:rsidR="002A6478" w:rsidRPr="00B758AB" w:rsidRDefault="002A6478" w:rsidP="00B758AB">
      <w:pPr>
        <w:spacing w:after="0" w:line="240" w:lineRule="auto"/>
      </w:pPr>
      <w:r>
        <w:separator/>
      </w:r>
    </w:p>
  </w:endnote>
  <w:endnote w:type="continuationSeparator" w:id="0">
    <w:p w14:paraId="5B36C5DB" w14:textId="77777777" w:rsidR="002A6478" w:rsidRPr="00B758AB" w:rsidRDefault="002A6478" w:rsidP="00B758AB">
      <w:pPr>
        <w:spacing w:after="0" w:line="240" w:lineRule="auto"/>
      </w:pPr>
      <w:r>
        <w:continuationSeparator/>
      </w:r>
    </w:p>
  </w:endnote>
  <w:endnote w:type="continuationNotice" w:id="1">
    <w:p w14:paraId="4DA04308" w14:textId="77777777" w:rsidR="002A6478" w:rsidRDefault="002A6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rPr>
      <w:id w:val="627859954"/>
      <w:docPartObj>
        <w:docPartGallery w:val="Page Numbers (Bottom of Page)"/>
        <w:docPartUnique/>
      </w:docPartObj>
    </w:sdtPr>
    <w:sdtEndPr/>
    <w:sdtContent>
      <w:p w14:paraId="08A3618C" w14:textId="104D28E6" w:rsidR="00644A60" w:rsidRPr="00B758AB" w:rsidRDefault="00644A60">
        <w:pPr>
          <w:pStyle w:val="Footer"/>
          <w:rPr>
            <w:rFonts w:ascii="Century Gothic" w:hAnsi="Century Gothic"/>
            <w:sz w:val="18"/>
          </w:rPr>
        </w:pPr>
        <w:r w:rsidRPr="00B758AB">
          <w:rPr>
            <w:rFonts w:ascii="Century Gothic" w:hAnsi="Century Gothic"/>
            <w:sz w:val="18"/>
          </w:rPr>
          <w:fldChar w:fldCharType="begin"/>
        </w:r>
        <w:r w:rsidRPr="00B758AB">
          <w:rPr>
            <w:rFonts w:ascii="Century Gothic" w:hAnsi="Century Gothic"/>
            <w:sz w:val="18"/>
          </w:rPr>
          <w:instrText xml:space="preserve"> PAGE   \* MERGEFORMAT </w:instrText>
        </w:r>
        <w:r w:rsidRPr="00B758AB">
          <w:rPr>
            <w:rFonts w:ascii="Century Gothic" w:hAnsi="Century Gothic"/>
            <w:sz w:val="18"/>
          </w:rPr>
          <w:fldChar w:fldCharType="separate"/>
        </w:r>
        <w:r w:rsidR="00B34C9D">
          <w:rPr>
            <w:rFonts w:ascii="Century Gothic" w:hAnsi="Century Gothic"/>
            <w:noProof/>
            <w:sz w:val="18"/>
          </w:rPr>
          <w:t>7</w:t>
        </w:r>
        <w:r w:rsidRPr="00B758AB">
          <w:rPr>
            <w:rFonts w:ascii="Century Gothic" w:hAnsi="Century Gothic"/>
            <w:sz w:val="18"/>
          </w:rPr>
          <w:fldChar w:fldCharType="end"/>
        </w:r>
        <w:r w:rsidRPr="00B758AB">
          <w:rPr>
            <w:rFonts w:ascii="Century Gothic" w:hAnsi="Century Gothic"/>
            <w:sz w:val="18"/>
          </w:rPr>
          <w:tab/>
          <w:t>Landscape Statement of Common Ground</w:t>
        </w:r>
        <w:r>
          <w:rPr>
            <w:rFonts w:ascii="Century Gothic" w:hAnsi="Century Gothic"/>
            <w:sz w:val="18"/>
          </w:rPr>
          <w:t xml:space="preserve"> – </w:t>
        </w:r>
        <w:r w:rsidR="00F07C0C">
          <w:rPr>
            <w:rFonts w:ascii="Century Gothic" w:hAnsi="Century Gothic"/>
            <w:sz w:val="18"/>
          </w:rPr>
          <w:t>3925</w:t>
        </w:r>
        <w:r w:rsidR="007E00D0">
          <w:rPr>
            <w:rFonts w:ascii="Century Gothic" w:hAnsi="Century Gothic"/>
            <w:sz w:val="18"/>
          </w:rPr>
          <w:t>_</w:t>
        </w:r>
        <w:r w:rsidR="00F07C0C" w:rsidDel="00F07C0C">
          <w:rPr>
            <w:rFonts w:ascii="Century Gothic" w:hAnsi="Century Gothic"/>
            <w:sz w:val="18"/>
          </w:rPr>
          <w:t xml:space="preserve"> </w:t>
        </w:r>
        <w:r w:rsidR="00F07C0C">
          <w:rPr>
            <w:rFonts w:ascii="Century Gothic" w:hAnsi="Century Gothic"/>
            <w:sz w:val="18"/>
          </w:rPr>
          <w:t>17</w:t>
        </w:r>
        <w:r w:rsidR="00223408">
          <w:rPr>
            <w:rFonts w:ascii="Century Gothic" w:hAnsi="Century Gothic"/>
            <w:sz w:val="18"/>
          </w:rPr>
          <w:t>b</w:t>
        </w:r>
      </w:p>
    </w:sdtContent>
  </w:sdt>
  <w:p w14:paraId="7EE1EA95" w14:textId="77777777" w:rsidR="00644A60" w:rsidRDefault="0064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31E0" w14:textId="77777777" w:rsidR="002A6478" w:rsidRPr="00B758AB" w:rsidRDefault="002A6478" w:rsidP="00B758AB">
      <w:pPr>
        <w:spacing w:after="0" w:line="240" w:lineRule="auto"/>
      </w:pPr>
      <w:r>
        <w:separator/>
      </w:r>
    </w:p>
  </w:footnote>
  <w:footnote w:type="continuationSeparator" w:id="0">
    <w:p w14:paraId="57216CC5" w14:textId="77777777" w:rsidR="002A6478" w:rsidRPr="00B758AB" w:rsidRDefault="002A6478" w:rsidP="00B758AB">
      <w:pPr>
        <w:spacing w:after="0" w:line="240" w:lineRule="auto"/>
      </w:pPr>
      <w:r>
        <w:continuationSeparator/>
      </w:r>
    </w:p>
  </w:footnote>
  <w:footnote w:type="continuationNotice" w:id="1">
    <w:p w14:paraId="6C89627A" w14:textId="77777777" w:rsidR="002A6478" w:rsidRDefault="002A64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6385"/>
    <w:multiLevelType w:val="hybridMultilevel"/>
    <w:tmpl w:val="3F7AB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0E52D1E"/>
    <w:multiLevelType w:val="multilevel"/>
    <w:tmpl w:val="AC0A9B4E"/>
    <w:styleLink w:val="NumbListmain"/>
    <w:lvl w:ilvl="0">
      <w:start w:val="1"/>
      <w:numFmt w:val="decimal"/>
      <w:pStyle w:val="Heading1Numb"/>
      <w:lvlText w:val="%1"/>
      <w:lvlJc w:val="left"/>
      <w:pPr>
        <w:ind w:left="567" w:hanging="567"/>
      </w:pPr>
      <w:rPr>
        <w:rFonts w:asciiTheme="minorHAnsi" w:hAnsiTheme="minorHAnsi"/>
        <w:color w:val="4FAF32"/>
        <w:sz w:val="20"/>
      </w:rPr>
    </w:lvl>
    <w:lvl w:ilvl="1">
      <w:start w:val="1"/>
      <w:numFmt w:val="decimal"/>
      <w:pStyle w:val="Normalnumbered"/>
      <w:lvlText w:val="%1.%2"/>
      <w:lvlJc w:val="left"/>
      <w:pPr>
        <w:ind w:left="567" w:hanging="567"/>
      </w:pPr>
    </w:lvl>
    <w:lvl w:ilvl="2">
      <w:start w:val="1"/>
      <w:numFmt w:val="none"/>
      <w:lvlText w:val="%3"/>
      <w:lvlJc w:val="left"/>
      <w:pPr>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CB6368"/>
    <w:multiLevelType w:val="multilevel"/>
    <w:tmpl w:val="4726FB10"/>
    <w:lvl w:ilvl="0">
      <w:start w:val="1"/>
      <w:numFmt w:val="decimal"/>
      <w:lvlText w:val="%1.0"/>
      <w:lvlJc w:val="left"/>
      <w:pPr>
        <w:ind w:left="680" w:hanging="680"/>
      </w:pPr>
      <w:rPr>
        <w:rFonts w:cs="Times New Roman" w:hint="default"/>
        <w:bCs w:val="0"/>
        <w:i w:val="0"/>
        <w:iCs w:val="0"/>
        <w:smallCaps w:val="0"/>
        <w:strike w:val="0"/>
        <w:dstrike w:val="0"/>
        <w:vanish w:val="0"/>
        <w:color w:val="000000"/>
        <w:spacing w:val="0"/>
        <w:kern w:val="0"/>
        <w:position w:val="0"/>
        <w:u w:val="none"/>
        <w:effect w:val="none"/>
        <w:vertAlign w:val="baseline"/>
        <w:em w:val="none"/>
      </w:rPr>
    </w:lvl>
    <w:lvl w:ilvl="1">
      <w:start w:val="1"/>
      <w:numFmt w:val="none"/>
      <w:lvlText w:val=""/>
      <w:lvlJc w:val="left"/>
      <w:pPr>
        <w:ind w:left="1440" w:hanging="360"/>
      </w:pPr>
      <w:rPr>
        <w:rFonts w:hint="default"/>
      </w:rPr>
    </w:lvl>
    <w:lvl w:ilvl="2">
      <w:start w:val="1"/>
      <w:numFmt w:val="decimal"/>
      <w:lvlRestart w:val="1"/>
      <w:lvlText w:val="%1.%3"/>
      <w:lvlJc w:val="right"/>
      <w:pPr>
        <w:ind w:left="1480" w:hanging="1480"/>
      </w:pPr>
      <w:rPr>
        <w:rFonts w:ascii="Century Gothic" w:hAnsi="Century Gothic" w:hint="default"/>
        <w:b w:val="0"/>
        <w:i w:val="0"/>
        <w:iCs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F917139"/>
    <w:multiLevelType w:val="hybridMultilevel"/>
    <w:tmpl w:val="C14E74CC"/>
    <w:lvl w:ilvl="0" w:tplc="08090001">
      <w:start w:val="1"/>
      <w:numFmt w:val="bullet"/>
      <w:lvlText w:val=""/>
      <w:lvlJc w:val="left"/>
      <w:pPr>
        <w:ind w:left="928"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6E5505"/>
    <w:multiLevelType w:val="multilevel"/>
    <w:tmpl w:val="B10EEE68"/>
    <w:name w:val="PEGASUSPLANNING"/>
    <w:lvl w:ilvl="0">
      <w:start w:val="1"/>
      <w:numFmt w:val="decimal"/>
      <w:isLgl/>
      <w:lvlText w:val="%1."/>
      <w:lvlJc w:val="left"/>
      <w:pPr>
        <w:tabs>
          <w:tab w:val="num" w:pos="720"/>
        </w:tabs>
        <w:ind w:left="720" w:hanging="720"/>
      </w:pPr>
      <w:rPr>
        <w:rFonts w:ascii="Verdana" w:hAnsi="Verdana" w:hint="default"/>
        <w:b/>
        <w:i w:val="0"/>
        <w:caps/>
        <w:sz w:val="20"/>
        <w:szCs w:val="20"/>
      </w:rPr>
    </w:lvl>
    <w:lvl w:ilvl="1">
      <w:start w:val="1"/>
      <w:numFmt w:val="decimal"/>
      <w:isLgl/>
      <w:lvlText w:val="%1.%2"/>
      <w:lvlJc w:val="left"/>
      <w:pPr>
        <w:tabs>
          <w:tab w:val="num" w:pos="720"/>
        </w:tabs>
        <w:ind w:left="720" w:hanging="720"/>
      </w:pPr>
      <w:rPr>
        <w:rFonts w:ascii="Verdana" w:hAnsi="Verdana" w:hint="default"/>
        <w:sz w:val="20"/>
        <w:szCs w:val="20"/>
      </w:rPr>
    </w:lvl>
    <w:lvl w:ilvl="2">
      <w:start w:val="1"/>
      <w:numFmt w:val="none"/>
      <w:lvlText w:val=""/>
      <w:lvlJc w:val="left"/>
      <w:pPr>
        <w:tabs>
          <w:tab w:val="num" w:pos="720"/>
        </w:tabs>
        <w:ind w:left="720" w:hanging="648"/>
      </w:pPr>
      <w:rPr>
        <w:rFonts w:ascii="Arial" w:hAnsi="Arial" w:cs="Times New Roman" w:hint="default"/>
        <w:b/>
        <w:i w:val="0"/>
        <w:sz w:val="22"/>
        <w:u w:val="words"/>
      </w:rPr>
    </w:lvl>
    <w:lvl w:ilvl="3">
      <w:numFmt w:val="none"/>
      <w:lvlRestart w:val="2"/>
      <w:lvlText w:val=""/>
      <w:lvlJc w:val="left"/>
      <w:pPr>
        <w:tabs>
          <w:tab w:val="num" w:pos="720"/>
        </w:tabs>
        <w:ind w:left="720" w:hanging="648"/>
      </w:pPr>
      <w:rPr>
        <w:rFonts w:ascii="Arial" w:hAnsi="Arial" w:cs="Times New Roman" w:hint="default"/>
        <w:sz w:val="22"/>
        <w:u w:val="words"/>
      </w:rPr>
    </w:lvl>
    <w:lvl w:ilvl="4">
      <w:start w:val="1"/>
      <w:numFmt w:val="bullet"/>
      <w:lvlRestart w:val="3"/>
      <w:lvlText w:val=""/>
      <w:lvlJc w:val="left"/>
      <w:pPr>
        <w:tabs>
          <w:tab w:val="num" w:pos="720"/>
        </w:tabs>
        <w:ind w:left="1440" w:hanging="288"/>
      </w:pPr>
      <w:rPr>
        <w:rFonts w:ascii="Symbol" w:hAnsi="Symbol" w:hint="default"/>
        <w:b w:val="0"/>
        <w:i w:val="0"/>
        <w:sz w:val="20"/>
        <w:szCs w:val="20"/>
      </w:rPr>
    </w:lvl>
    <w:lvl w:ilvl="5">
      <w:start w:val="1"/>
      <w:numFmt w:val="bullet"/>
      <w:lvlRestart w:val="3"/>
      <w:lvlText w:val=""/>
      <w:lvlJc w:val="left"/>
      <w:pPr>
        <w:tabs>
          <w:tab w:val="num" w:pos="1152"/>
        </w:tabs>
        <w:ind w:left="1440" w:hanging="288"/>
      </w:pPr>
      <w:rPr>
        <w:rFonts w:ascii="Wingdings" w:hAnsi="Wingdings" w:hint="default"/>
        <w:b w:val="0"/>
        <w:i w:val="0"/>
        <w:sz w:val="20"/>
        <w:szCs w:val="20"/>
      </w:rPr>
    </w:lvl>
    <w:lvl w:ilvl="6">
      <w:start w:val="1"/>
      <w:numFmt w:val="lowerRoman"/>
      <w:lvlRestart w:val="3"/>
      <w:lvlText w:val="%7."/>
      <w:lvlJc w:val="left"/>
      <w:pPr>
        <w:tabs>
          <w:tab w:val="num" w:pos="1541"/>
        </w:tabs>
        <w:ind w:left="1526" w:hanging="374"/>
      </w:pPr>
      <w:rPr>
        <w:rFonts w:ascii="Verdana" w:hAnsi="Verdana" w:hint="default"/>
        <w:b w:val="0"/>
        <w:i w:val="0"/>
        <w:sz w:val="20"/>
        <w:szCs w:val="20"/>
      </w:rPr>
    </w:lvl>
    <w:lvl w:ilvl="7">
      <w:start w:val="1"/>
      <w:numFmt w:val="decimal"/>
      <w:lvlRestart w:val="3"/>
      <w:lvlText w:val="%8)"/>
      <w:lvlJc w:val="left"/>
      <w:pPr>
        <w:tabs>
          <w:tab w:val="num" w:pos="1152"/>
        </w:tabs>
        <w:ind w:left="1440" w:hanging="288"/>
      </w:pPr>
      <w:rPr>
        <w:rFonts w:ascii="Verdana" w:hAnsi="Verdana" w:hint="default"/>
        <w:b w:val="0"/>
        <w:i w:val="0"/>
        <w:sz w:val="20"/>
        <w:szCs w:val="20"/>
      </w:rPr>
    </w:lvl>
    <w:lvl w:ilvl="8">
      <w:start w:val="1"/>
      <w:numFmt w:val="lowerLetter"/>
      <w:lvlRestart w:val="3"/>
      <w:lvlText w:val="%9)"/>
      <w:lvlJc w:val="left"/>
      <w:pPr>
        <w:tabs>
          <w:tab w:val="num" w:pos="1152"/>
        </w:tabs>
        <w:ind w:left="1440" w:hanging="288"/>
      </w:pPr>
      <w:rPr>
        <w:rFonts w:ascii="Verdana" w:hAnsi="Verdana" w:hint="default"/>
        <w:b w:val="0"/>
        <w:i w:val="0"/>
        <w:sz w:val="20"/>
        <w:szCs w:val="20"/>
      </w:rPr>
    </w:lvl>
  </w:abstractNum>
  <w:abstractNum w:abstractNumId="5" w15:restartNumberingAfterBreak="0">
    <w:nsid w:val="5EC43EAE"/>
    <w:multiLevelType w:val="hybridMultilevel"/>
    <w:tmpl w:val="C4AA61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7F1C13"/>
    <w:multiLevelType w:val="multilevel"/>
    <w:tmpl w:val="6792E016"/>
    <w:lvl w:ilvl="0">
      <w:start w:val="1"/>
      <w:numFmt w:val="decimal"/>
      <w:pStyle w:val="Heading1"/>
      <w:lvlText w:val="%1.0"/>
      <w:lvlJc w:val="left"/>
      <w:pPr>
        <w:tabs>
          <w:tab w:val="num" w:pos="1151"/>
        </w:tabs>
        <w:ind w:left="1151" w:hanging="1151"/>
      </w:pPr>
      <w:rPr>
        <w:rFonts w:ascii="Tahoma" w:hAnsi="Tahoma" w:cs="Tahoma" w:hint="default"/>
        <w:b/>
        <w:i w:val="0"/>
        <w:sz w:val="24"/>
      </w:rPr>
    </w:lvl>
    <w:lvl w:ilvl="1">
      <w:start w:val="1"/>
      <w:numFmt w:val="decimal"/>
      <w:pStyle w:val="Heading2"/>
      <w:lvlText w:val="%1.%2"/>
      <w:lvlJc w:val="left"/>
      <w:pPr>
        <w:tabs>
          <w:tab w:val="num" w:pos="1151"/>
        </w:tabs>
        <w:ind w:left="1151" w:hanging="1151"/>
      </w:pPr>
      <w:rPr>
        <w:b w:val="0"/>
        <w:bCs/>
      </w:rPr>
    </w:lvl>
    <w:lvl w:ilvl="2">
      <w:start w:val="1"/>
      <w:numFmt w:val="decimal"/>
      <w:lvlText w:val="%1.%2.%3"/>
      <w:lvlJc w:val="left"/>
      <w:pPr>
        <w:tabs>
          <w:tab w:val="num" w:pos="1151"/>
        </w:tabs>
        <w:ind w:left="1151" w:hanging="1151"/>
      </w:pPr>
    </w:lvl>
    <w:lvl w:ilvl="3">
      <w:start w:val="1"/>
      <w:numFmt w:val="decimal"/>
      <w:lvlText w:val="%1.%2.%3.%4"/>
      <w:lvlJc w:val="left"/>
      <w:pPr>
        <w:tabs>
          <w:tab w:val="num" w:pos="1151"/>
        </w:tabs>
        <w:ind w:left="1151" w:hanging="1151"/>
      </w:pPr>
    </w:lvl>
    <w:lvl w:ilvl="4">
      <w:start w:val="1"/>
      <w:numFmt w:val="none"/>
      <w:lvlText w:val=""/>
      <w:lvlJc w:val="left"/>
      <w:pPr>
        <w:tabs>
          <w:tab w:val="num" w:pos="1151"/>
        </w:tabs>
        <w:ind w:left="1151" w:hanging="1151"/>
      </w:pPr>
    </w:lvl>
    <w:lvl w:ilvl="5">
      <w:start w:val="1"/>
      <w:numFmt w:val="none"/>
      <w:lvlText w:val=""/>
      <w:lvlJc w:val="left"/>
      <w:pPr>
        <w:tabs>
          <w:tab w:val="num" w:pos="1151"/>
        </w:tabs>
        <w:ind w:left="1151" w:hanging="1151"/>
      </w:pPr>
    </w:lvl>
    <w:lvl w:ilvl="6">
      <w:start w:val="1"/>
      <w:numFmt w:val="none"/>
      <w:lvlText w:val=""/>
      <w:lvlJc w:val="left"/>
      <w:pPr>
        <w:tabs>
          <w:tab w:val="num" w:pos="1151"/>
        </w:tabs>
        <w:ind w:left="1151" w:hanging="1151"/>
      </w:pPr>
    </w:lvl>
    <w:lvl w:ilvl="7">
      <w:start w:val="1"/>
      <w:numFmt w:val="none"/>
      <w:lvlText w:val=""/>
      <w:lvlJc w:val="left"/>
      <w:pPr>
        <w:tabs>
          <w:tab w:val="num" w:pos="1151"/>
        </w:tabs>
        <w:ind w:left="1151" w:hanging="1151"/>
      </w:pPr>
    </w:lvl>
    <w:lvl w:ilvl="8">
      <w:start w:val="1"/>
      <w:numFmt w:val="none"/>
      <w:lvlText w:val=""/>
      <w:lvlJc w:val="left"/>
      <w:pPr>
        <w:tabs>
          <w:tab w:val="num" w:pos="1151"/>
        </w:tabs>
        <w:ind w:left="1151" w:hanging="1151"/>
      </w:pPr>
    </w:lvl>
  </w:abstractNum>
  <w:abstractNum w:abstractNumId="7" w15:restartNumberingAfterBreak="0">
    <w:nsid w:val="6E627671"/>
    <w:multiLevelType w:val="hybridMultilevel"/>
    <w:tmpl w:val="C150C012"/>
    <w:lvl w:ilvl="0" w:tplc="2724082C">
      <w:start w:val="1"/>
      <w:numFmt w:val="bullet"/>
      <w:pStyle w:val="CSABulletpointswithspacing"/>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2BE238A"/>
    <w:multiLevelType w:val="hybridMultilevel"/>
    <w:tmpl w:val="DC1EF9B4"/>
    <w:lvl w:ilvl="0" w:tplc="1102D3F8">
      <w:start w:val="1"/>
      <w:numFmt w:val="decimal"/>
      <w:pStyle w:val="NoSpacing"/>
      <w:lvlText w:val="%1."/>
      <w:lvlJc w:val="left"/>
      <w:pPr>
        <w:ind w:left="502" w:hanging="360"/>
      </w:pPr>
      <w:rPr>
        <w:i w:val="0"/>
        <w:iCs w:val="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1464274989">
    <w:abstractNumId w:val="8"/>
  </w:num>
  <w:num w:numId="2" w16cid:durableId="724527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751468">
    <w:abstractNumId w:val="3"/>
  </w:num>
  <w:num w:numId="4" w16cid:durableId="1518616818">
    <w:abstractNumId w:val="7"/>
  </w:num>
  <w:num w:numId="5" w16cid:durableId="1069495018">
    <w:abstractNumId w:val="5"/>
  </w:num>
  <w:num w:numId="6" w16cid:durableId="1152524909">
    <w:abstractNumId w:val="8"/>
  </w:num>
  <w:num w:numId="7" w16cid:durableId="256524026">
    <w:abstractNumId w:val="8"/>
  </w:num>
  <w:num w:numId="8" w16cid:durableId="109205658">
    <w:abstractNumId w:val="8"/>
  </w:num>
  <w:num w:numId="9" w16cid:durableId="417871611">
    <w:abstractNumId w:val="8"/>
  </w:num>
  <w:num w:numId="10" w16cid:durableId="617840069">
    <w:abstractNumId w:val="8"/>
  </w:num>
  <w:num w:numId="11" w16cid:durableId="763651723">
    <w:abstractNumId w:val="8"/>
  </w:num>
  <w:num w:numId="12" w16cid:durableId="2005739991">
    <w:abstractNumId w:val="0"/>
  </w:num>
  <w:num w:numId="13" w16cid:durableId="1309900780">
    <w:abstractNumId w:val="8"/>
  </w:num>
  <w:num w:numId="14" w16cid:durableId="1885368457">
    <w:abstractNumId w:val="2"/>
  </w:num>
  <w:num w:numId="15" w16cid:durableId="1128007362">
    <w:abstractNumId w:val="8"/>
  </w:num>
  <w:num w:numId="16" w16cid:durableId="1583221597">
    <w:abstractNumId w:val="8"/>
  </w:num>
  <w:num w:numId="17" w16cid:durableId="1079718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4104025">
    <w:abstractNumId w:val="1"/>
    <w:lvlOverride w:ilvl="0">
      <w:lvl w:ilvl="0">
        <w:start w:val="1"/>
        <w:numFmt w:val="decimal"/>
        <w:pStyle w:val="Heading1Numb"/>
        <w:lvlText w:val="%1"/>
        <w:lvlJc w:val="left"/>
        <w:pPr>
          <w:ind w:left="567" w:hanging="567"/>
        </w:pPr>
        <w:rPr>
          <w:rFonts w:asciiTheme="minorHAnsi" w:hAnsiTheme="minorHAnsi"/>
          <w:color w:val="4FAF32"/>
          <w:sz w:val="20"/>
        </w:rPr>
      </w:lvl>
    </w:lvlOverride>
    <w:lvlOverride w:ilvl="1">
      <w:lvl w:ilvl="1">
        <w:start w:val="1"/>
        <w:numFmt w:val="decimal"/>
        <w:pStyle w:val="Normalnumbered"/>
        <w:lvlText w:val="%1.%2"/>
        <w:lvlJc w:val="left"/>
        <w:pPr>
          <w:ind w:left="567" w:hanging="567"/>
        </w:pPr>
      </w:lvl>
    </w:lvlOverride>
    <w:lvlOverride w:ilvl="2">
      <w:lvl w:ilvl="2">
        <w:start w:val="1"/>
        <w:numFmt w:val="none"/>
        <w:lvlText w:val="%3"/>
        <w:lvlJc w:val="left"/>
        <w:pPr>
          <w:ind w:left="567" w:hanging="567"/>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16cid:durableId="19343174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59"/>
    <w:rsid w:val="00012FF8"/>
    <w:rsid w:val="00022F7E"/>
    <w:rsid w:val="00033CCC"/>
    <w:rsid w:val="000912C0"/>
    <w:rsid w:val="00091DB6"/>
    <w:rsid w:val="000A13F4"/>
    <w:rsid w:val="000A640A"/>
    <w:rsid w:val="000B5023"/>
    <w:rsid w:val="000C28E3"/>
    <w:rsid w:val="000D00B8"/>
    <w:rsid w:val="000D383D"/>
    <w:rsid w:val="000F64C8"/>
    <w:rsid w:val="00105548"/>
    <w:rsid w:val="00106A1F"/>
    <w:rsid w:val="00111AF9"/>
    <w:rsid w:val="00112D8A"/>
    <w:rsid w:val="00127966"/>
    <w:rsid w:val="00134A84"/>
    <w:rsid w:val="001377A3"/>
    <w:rsid w:val="00147C4E"/>
    <w:rsid w:val="0016092E"/>
    <w:rsid w:val="00184855"/>
    <w:rsid w:val="00194E83"/>
    <w:rsid w:val="001978B2"/>
    <w:rsid w:val="001C0BC8"/>
    <w:rsid w:val="00206B0F"/>
    <w:rsid w:val="00217397"/>
    <w:rsid w:val="00223408"/>
    <w:rsid w:val="00236963"/>
    <w:rsid w:val="00250901"/>
    <w:rsid w:val="00267C55"/>
    <w:rsid w:val="002769DD"/>
    <w:rsid w:val="00290028"/>
    <w:rsid w:val="002944A8"/>
    <w:rsid w:val="002A6478"/>
    <w:rsid w:val="002B5248"/>
    <w:rsid w:val="002B5C19"/>
    <w:rsid w:val="002C63B1"/>
    <w:rsid w:val="002D1243"/>
    <w:rsid w:val="002F28CE"/>
    <w:rsid w:val="002F3F2F"/>
    <w:rsid w:val="002F4153"/>
    <w:rsid w:val="003040EB"/>
    <w:rsid w:val="00314525"/>
    <w:rsid w:val="0031550E"/>
    <w:rsid w:val="0032165C"/>
    <w:rsid w:val="00330E2F"/>
    <w:rsid w:val="0034056B"/>
    <w:rsid w:val="003769BF"/>
    <w:rsid w:val="003A51AD"/>
    <w:rsid w:val="003A657F"/>
    <w:rsid w:val="003B0FB8"/>
    <w:rsid w:val="003C1211"/>
    <w:rsid w:val="003D2241"/>
    <w:rsid w:val="003D7D86"/>
    <w:rsid w:val="003F4562"/>
    <w:rsid w:val="00412AEF"/>
    <w:rsid w:val="00444D2C"/>
    <w:rsid w:val="00451CAA"/>
    <w:rsid w:val="00473F0A"/>
    <w:rsid w:val="00475F6A"/>
    <w:rsid w:val="004843FE"/>
    <w:rsid w:val="004A031D"/>
    <w:rsid w:val="004A7333"/>
    <w:rsid w:val="004B482B"/>
    <w:rsid w:val="004C2AB6"/>
    <w:rsid w:val="004C3158"/>
    <w:rsid w:val="004C773F"/>
    <w:rsid w:val="004D3670"/>
    <w:rsid w:val="004E0EA7"/>
    <w:rsid w:val="004E4AE3"/>
    <w:rsid w:val="004F0E04"/>
    <w:rsid w:val="004F2814"/>
    <w:rsid w:val="005055FF"/>
    <w:rsid w:val="00516BC1"/>
    <w:rsid w:val="005219FC"/>
    <w:rsid w:val="0053430D"/>
    <w:rsid w:val="00540E37"/>
    <w:rsid w:val="00545841"/>
    <w:rsid w:val="00552302"/>
    <w:rsid w:val="0057700F"/>
    <w:rsid w:val="00582807"/>
    <w:rsid w:val="00583F44"/>
    <w:rsid w:val="005B096B"/>
    <w:rsid w:val="005C1F80"/>
    <w:rsid w:val="005C36A5"/>
    <w:rsid w:val="005D1BBF"/>
    <w:rsid w:val="005D2103"/>
    <w:rsid w:val="005D7921"/>
    <w:rsid w:val="005E3D7F"/>
    <w:rsid w:val="006149BF"/>
    <w:rsid w:val="00614FED"/>
    <w:rsid w:val="006275A2"/>
    <w:rsid w:val="006409AE"/>
    <w:rsid w:val="00640A05"/>
    <w:rsid w:val="00641977"/>
    <w:rsid w:val="00644A60"/>
    <w:rsid w:val="00652AF3"/>
    <w:rsid w:val="00657667"/>
    <w:rsid w:val="006704A5"/>
    <w:rsid w:val="006769D4"/>
    <w:rsid w:val="00676DA5"/>
    <w:rsid w:val="00683CC1"/>
    <w:rsid w:val="00690624"/>
    <w:rsid w:val="006A592F"/>
    <w:rsid w:val="006B0792"/>
    <w:rsid w:val="006B6225"/>
    <w:rsid w:val="006C19E6"/>
    <w:rsid w:val="006C639B"/>
    <w:rsid w:val="006D740F"/>
    <w:rsid w:val="00701547"/>
    <w:rsid w:val="00705326"/>
    <w:rsid w:val="00715552"/>
    <w:rsid w:val="007178C2"/>
    <w:rsid w:val="00733842"/>
    <w:rsid w:val="00734C36"/>
    <w:rsid w:val="0073557D"/>
    <w:rsid w:val="00741B4C"/>
    <w:rsid w:val="00755D02"/>
    <w:rsid w:val="007649E6"/>
    <w:rsid w:val="00766311"/>
    <w:rsid w:val="00781F72"/>
    <w:rsid w:val="0078569A"/>
    <w:rsid w:val="007900F2"/>
    <w:rsid w:val="00791648"/>
    <w:rsid w:val="007A4E69"/>
    <w:rsid w:val="007D11D3"/>
    <w:rsid w:val="007D5925"/>
    <w:rsid w:val="007E00D0"/>
    <w:rsid w:val="007E5A66"/>
    <w:rsid w:val="00805161"/>
    <w:rsid w:val="00813C17"/>
    <w:rsid w:val="0081631C"/>
    <w:rsid w:val="0082134D"/>
    <w:rsid w:val="00827104"/>
    <w:rsid w:val="008323A3"/>
    <w:rsid w:val="00834CE7"/>
    <w:rsid w:val="00840A2E"/>
    <w:rsid w:val="00840F34"/>
    <w:rsid w:val="00853EDE"/>
    <w:rsid w:val="00856D84"/>
    <w:rsid w:val="00861C7C"/>
    <w:rsid w:val="00862B3E"/>
    <w:rsid w:val="00866B72"/>
    <w:rsid w:val="00871EFD"/>
    <w:rsid w:val="00874618"/>
    <w:rsid w:val="008845CC"/>
    <w:rsid w:val="00891829"/>
    <w:rsid w:val="008A2B98"/>
    <w:rsid w:val="008A50FF"/>
    <w:rsid w:val="008D0219"/>
    <w:rsid w:val="008D47C9"/>
    <w:rsid w:val="008E248B"/>
    <w:rsid w:val="00942FA2"/>
    <w:rsid w:val="00955B87"/>
    <w:rsid w:val="00982FB9"/>
    <w:rsid w:val="009913CF"/>
    <w:rsid w:val="009A105F"/>
    <w:rsid w:val="009D4D49"/>
    <w:rsid w:val="009D67A1"/>
    <w:rsid w:val="009E7E29"/>
    <w:rsid w:val="009F1990"/>
    <w:rsid w:val="00A16EE2"/>
    <w:rsid w:val="00A177DE"/>
    <w:rsid w:val="00A2175B"/>
    <w:rsid w:val="00A21B02"/>
    <w:rsid w:val="00A263AB"/>
    <w:rsid w:val="00A40480"/>
    <w:rsid w:val="00A54CC8"/>
    <w:rsid w:val="00A630AF"/>
    <w:rsid w:val="00A709E2"/>
    <w:rsid w:val="00A77508"/>
    <w:rsid w:val="00AB1359"/>
    <w:rsid w:val="00AB70D1"/>
    <w:rsid w:val="00AD190A"/>
    <w:rsid w:val="00AD7993"/>
    <w:rsid w:val="00AE34EE"/>
    <w:rsid w:val="00B06904"/>
    <w:rsid w:val="00B12FEE"/>
    <w:rsid w:val="00B17BB9"/>
    <w:rsid w:val="00B34C9D"/>
    <w:rsid w:val="00B4181B"/>
    <w:rsid w:val="00B478C7"/>
    <w:rsid w:val="00B623EA"/>
    <w:rsid w:val="00B6528A"/>
    <w:rsid w:val="00B758AB"/>
    <w:rsid w:val="00B907BD"/>
    <w:rsid w:val="00B94001"/>
    <w:rsid w:val="00BB3BFC"/>
    <w:rsid w:val="00BB40CC"/>
    <w:rsid w:val="00BD1D49"/>
    <w:rsid w:val="00BE50F6"/>
    <w:rsid w:val="00C104CD"/>
    <w:rsid w:val="00C12485"/>
    <w:rsid w:val="00C171AB"/>
    <w:rsid w:val="00C53CAC"/>
    <w:rsid w:val="00C60757"/>
    <w:rsid w:val="00C64579"/>
    <w:rsid w:val="00C66ADD"/>
    <w:rsid w:val="00C73DEA"/>
    <w:rsid w:val="00C74B6D"/>
    <w:rsid w:val="00C764EF"/>
    <w:rsid w:val="00C86E02"/>
    <w:rsid w:val="00C87E10"/>
    <w:rsid w:val="00C97A1C"/>
    <w:rsid w:val="00CA63D0"/>
    <w:rsid w:val="00CB046F"/>
    <w:rsid w:val="00CC1CA2"/>
    <w:rsid w:val="00CC3352"/>
    <w:rsid w:val="00CD4A3F"/>
    <w:rsid w:val="00CD5C0F"/>
    <w:rsid w:val="00D10071"/>
    <w:rsid w:val="00D10F22"/>
    <w:rsid w:val="00D1404A"/>
    <w:rsid w:val="00D16512"/>
    <w:rsid w:val="00D20860"/>
    <w:rsid w:val="00D21D55"/>
    <w:rsid w:val="00D2618D"/>
    <w:rsid w:val="00D463BC"/>
    <w:rsid w:val="00D52D3C"/>
    <w:rsid w:val="00D632D8"/>
    <w:rsid w:val="00D87CBC"/>
    <w:rsid w:val="00D923F2"/>
    <w:rsid w:val="00D9546C"/>
    <w:rsid w:val="00DA18A8"/>
    <w:rsid w:val="00DA2424"/>
    <w:rsid w:val="00DA25B9"/>
    <w:rsid w:val="00DB7C70"/>
    <w:rsid w:val="00DD456D"/>
    <w:rsid w:val="00DF75FA"/>
    <w:rsid w:val="00E044A3"/>
    <w:rsid w:val="00E1317D"/>
    <w:rsid w:val="00E203EF"/>
    <w:rsid w:val="00E21898"/>
    <w:rsid w:val="00E27BF5"/>
    <w:rsid w:val="00E35888"/>
    <w:rsid w:val="00E37859"/>
    <w:rsid w:val="00E43466"/>
    <w:rsid w:val="00E46791"/>
    <w:rsid w:val="00E4692A"/>
    <w:rsid w:val="00E73FCF"/>
    <w:rsid w:val="00EA0039"/>
    <w:rsid w:val="00EA5F57"/>
    <w:rsid w:val="00EE0183"/>
    <w:rsid w:val="00EE1FF2"/>
    <w:rsid w:val="00F07C0C"/>
    <w:rsid w:val="00F10D84"/>
    <w:rsid w:val="00F10E2B"/>
    <w:rsid w:val="00F21272"/>
    <w:rsid w:val="00F369C8"/>
    <w:rsid w:val="00F377CC"/>
    <w:rsid w:val="00F40F3A"/>
    <w:rsid w:val="00F5020C"/>
    <w:rsid w:val="00F5036F"/>
    <w:rsid w:val="00F60FB0"/>
    <w:rsid w:val="00F651E6"/>
    <w:rsid w:val="00F67FEA"/>
    <w:rsid w:val="00F71EC4"/>
    <w:rsid w:val="00F81292"/>
    <w:rsid w:val="00F84CB7"/>
    <w:rsid w:val="00FA6E91"/>
    <w:rsid w:val="00FB2FAD"/>
    <w:rsid w:val="00FB5468"/>
    <w:rsid w:val="00FD67F7"/>
    <w:rsid w:val="00FE0B40"/>
    <w:rsid w:val="00FE22B0"/>
    <w:rsid w:val="00FE2F32"/>
    <w:rsid w:val="00FF45BD"/>
    <w:rsid w:val="00FF4EAB"/>
    <w:rsid w:val="00FF557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A037"/>
  <w15:docId w15:val="{8F977C5B-21C3-460E-96E5-0B3D87C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25"/>
  </w:style>
  <w:style w:type="paragraph" w:styleId="Heading1">
    <w:name w:val="heading 1"/>
    <w:aliases w:val="Heading,L1,RSKH1,RSKHeading 1,§1.,chap,AETC-H1,RSKH11,RSKH12,RSKH111,RSK-H1,Oscar Faber 1,Tomhead 1,Outline1 Char,Title Name,Outline1,Heading 1 Char Char Char,Heading 11,Heading 1 Char1,Oscar Faber 11,Tomhead 11,Outline1 Char1,g,ADVICE 1,h1,a"/>
    <w:next w:val="Heading2"/>
    <w:link w:val="Heading1Char"/>
    <w:qFormat/>
    <w:rsid w:val="00644A60"/>
    <w:pPr>
      <w:widowControl w:val="0"/>
      <w:numPr>
        <w:numId w:val="2"/>
      </w:numPr>
      <w:spacing w:after="480" w:line="360" w:lineRule="auto"/>
      <w:jc w:val="both"/>
      <w:outlineLvl w:val="0"/>
    </w:pPr>
    <w:rPr>
      <w:rFonts w:ascii="Verdana" w:eastAsia="Times New Roman" w:hAnsi="Verdana" w:cs="Arial"/>
      <w:sz w:val="24"/>
      <w:szCs w:val="32"/>
    </w:rPr>
  </w:style>
  <w:style w:type="paragraph" w:styleId="Heading2">
    <w:name w:val="heading 2"/>
    <w:aliases w:val="Heading 2 Char Char Char Char Char,Heading 2 Char Char Char Char Char Char Char Char,Heading 2 Char Char Char Char Char Char Char Char Char,Annex2,Oscar Faber 2,Tomhead 2,Outline2 Char,Outline2 Char Char Char Char Char Char Char,Section,2,Char"/>
    <w:link w:val="Heading2Char"/>
    <w:uiPriority w:val="9"/>
    <w:semiHidden/>
    <w:unhideWhenUsed/>
    <w:qFormat/>
    <w:rsid w:val="00644A60"/>
    <w:pPr>
      <w:widowControl w:val="0"/>
      <w:numPr>
        <w:ilvl w:val="1"/>
        <w:numId w:val="2"/>
      </w:numPr>
      <w:spacing w:after="480" w:line="360" w:lineRule="auto"/>
      <w:jc w:val="both"/>
      <w:outlineLvl w:val="1"/>
    </w:pPr>
    <w:rPr>
      <w:rFonts w:ascii="Verdana" w:eastAsia="Times New Roman" w:hAnsi="Verdana"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C2AB6"/>
    <w:pPr>
      <w:autoSpaceDE w:val="0"/>
      <w:autoSpaceDN w:val="0"/>
      <w:adjustRightInd w:val="0"/>
      <w:spacing w:after="0" w:line="288" w:lineRule="auto"/>
      <w:textAlignment w:val="center"/>
    </w:pPr>
    <w:rPr>
      <w:rFonts w:ascii="Century Gothic" w:hAnsi="Century Gothic"/>
      <w:color w:val="000000"/>
      <w:sz w:val="24"/>
      <w:szCs w:val="24"/>
    </w:rPr>
  </w:style>
  <w:style w:type="paragraph" w:customStyle="1" w:styleId="BasicParagraph">
    <w:name w:val="[Basic Paragraph]"/>
    <w:basedOn w:val="NoParagraphStyle"/>
    <w:uiPriority w:val="99"/>
    <w:rsid w:val="004C2AB6"/>
  </w:style>
  <w:style w:type="table" w:styleId="TableGrid">
    <w:name w:val="Table Grid"/>
    <w:basedOn w:val="TableNormal"/>
    <w:uiPriority w:val="39"/>
    <w:rsid w:val="00F71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2D8"/>
    <w:pPr>
      <w:ind w:left="720"/>
      <w:contextualSpacing/>
    </w:pPr>
  </w:style>
  <w:style w:type="paragraph" w:styleId="NoSpacing">
    <w:name w:val="No Spacing"/>
    <w:basedOn w:val="ListParagraph"/>
    <w:uiPriority w:val="1"/>
    <w:qFormat/>
    <w:rsid w:val="00B758AB"/>
    <w:pPr>
      <w:numPr>
        <w:numId w:val="1"/>
      </w:numPr>
      <w:spacing w:after="120" w:line="276" w:lineRule="auto"/>
      <w:contextualSpacing w:val="0"/>
    </w:pPr>
    <w:rPr>
      <w:rFonts w:ascii="Century Gothic" w:hAnsi="Century Gothic"/>
    </w:rPr>
  </w:style>
  <w:style w:type="paragraph" w:styleId="Header">
    <w:name w:val="header"/>
    <w:basedOn w:val="Normal"/>
    <w:link w:val="HeaderChar"/>
    <w:uiPriority w:val="99"/>
    <w:unhideWhenUsed/>
    <w:rsid w:val="00B75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8AB"/>
  </w:style>
  <w:style w:type="paragraph" w:styleId="Footer">
    <w:name w:val="footer"/>
    <w:basedOn w:val="Normal"/>
    <w:link w:val="FooterChar"/>
    <w:uiPriority w:val="99"/>
    <w:unhideWhenUsed/>
    <w:rsid w:val="00B75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8AB"/>
  </w:style>
  <w:style w:type="character" w:styleId="CommentReference">
    <w:name w:val="annotation reference"/>
    <w:basedOn w:val="DefaultParagraphFont"/>
    <w:uiPriority w:val="99"/>
    <w:semiHidden/>
    <w:unhideWhenUsed/>
    <w:rsid w:val="00033CCC"/>
    <w:rPr>
      <w:sz w:val="16"/>
      <w:szCs w:val="16"/>
    </w:rPr>
  </w:style>
  <w:style w:type="paragraph" w:styleId="CommentText">
    <w:name w:val="annotation text"/>
    <w:basedOn w:val="Normal"/>
    <w:link w:val="CommentTextChar"/>
    <w:uiPriority w:val="99"/>
    <w:unhideWhenUsed/>
    <w:rsid w:val="00033CCC"/>
    <w:pPr>
      <w:spacing w:line="240" w:lineRule="auto"/>
    </w:pPr>
    <w:rPr>
      <w:sz w:val="20"/>
      <w:szCs w:val="20"/>
    </w:rPr>
  </w:style>
  <w:style w:type="character" w:customStyle="1" w:styleId="CommentTextChar">
    <w:name w:val="Comment Text Char"/>
    <w:basedOn w:val="DefaultParagraphFont"/>
    <w:link w:val="CommentText"/>
    <w:uiPriority w:val="99"/>
    <w:rsid w:val="00033CCC"/>
    <w:rPr>
      <w:sz w:val="20"/>
      <w:szCs w:val="20"/>
    </w:rPr>
  </w:style>
  <w:style w:type="paragraph" w:styleId="CommentSubject">
    <w:name w:val="annotation subject"/>
    <w:basedOn w:val="CommentText"/>
    <w:next w:val="CommentText"/>
    <w:link w:val="CommentSubjectChar"/>
    <w:uiPriority w:val="99"/>
    <w:semiHidden/>
    <w:unhideWhenUsed/>
    <w:rsid w:val="00033CCC"/>
    <w:rPr>
      <w:b/>
      <w:bCs/>
    </w:rPr>
  </w:style>
  <w:style w:type="character" w:customStyle="1" w:styleId="CommentSubjectChar">
    <w:name w:val="Comment Subject Char"/>
    <w:basedOn w:val="CommentTextChar"/>
    <w:link w:val="CommentSubject"/>
    <w:uiPriority w:val="99"/>
    <w:semiHidden/>
    <w:rsid w:val="00033CCC"/>
    <w:rPr>
      <w:b/>
      <w:bCs/>
      <w:sz w:val="20"/>
      <w:szCs w:val="20"/>
    </w:rPr>
  </w:style>
  <w:style w:type="paragraph" w:styleId="BalloonText">
    <w:name w:val="Balloon Text"/>
    <w:basedOn w:val="Normal"/>
    <w:link w:val="BalloonTextChar"/>
    <w:uiPriority w:val="99"/>
    <w:semiHidden/>
    <w:unhideWhenUsed/>
    <w:rsid w:val="00033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CC"/>
    <w:rPr>
      <w:rFonts w:ascii="Segoe UI" w:hAnsi="Segoe UI" w:cs="Segoe UI"/>
      <w:sz w:val="18"/>
      <w:szCs w:val="18"/>
    </w:rPr>
  </w:style>
  <w:style w:type="character" w:customStyle="1" w:styleId="Heading1Char">
    <w:name w:val="Heading 1 Char"/>
    <w:aliases w:val="Heading Char,L1 Char,RSKH1 Char,RSKHeading 1 Char,§1. Char,chap Char,AETC-H1 Char,RSKH11 Char,RSKH12 Char,RSKH111 Char,RSK-H1 Char,Oscar Faber 1 Char,Tomhead 1 Char,Outline1 Char Char,Title Name Char,Outline1 Char2,Heading 11 Char,g Char"/>
    <w:basedOn w:val="DefaultParagraphFont"/>
    <w:link w:val="Heading1"/>
    <w:rsid w:val="00644A60"/>
    <w:rPr>
      <w:rFonts w:ascii="Verdana" w:eastAsia="Times New Roman" w:hAnsi="Verdana" w:cs="Arial"/>
      <w:sz w:val="24"/>
      <w:szCs w:val="32"/>
    </w:rPr>
  </w:style>
  <w:style w:type="character" w:customStyle="1" w:styleId="Heading2Char">
    <w:name w:val="Heading 2 Char"/>
    <w:aliases w:val="Heading 2 Char Char Char Char Char Char,Heading 2 Char Char Char Char Char Char Char Char Char1,Heading 2 Char Char Char Char Char Char Char Char Char Char,Annex2 Char,Oscar Faber 2 Char,Tomhead 2 Char,Outline2 Char Char,Section Char"/>
    <w:basedOn w:val="DefaultParagraphFont"/>
    <w:link w:val="Heading2"/>
    <w:uiPriority w:val="9"/>
    <w:semiHidden/>
    <w:rsid w:val="00644A60"/>
    <w:rPr>
      <w:rFonts w:ascii="Verdana" w:eastAsia="Times New Roman" w:hAnsi="Verdana" w:cs="Arial"/>
      <w:bCs/>
      <w:iCs/>
      <w:sz w:val="20"/>
      <w:szCs w:val="28"/>
    </w:rPr>
  </w:style>
  <w:style w:type="paragraph" w:customStyle="1" w:styleId="Quotation">
    <w:name w:val="Quotation"/>
    <w:basedOn w:val="Normal"/>
    <w:link w:val="QuotationChar"/>
    <w:qFormat/>
    <w:rsid w:val="004A031D"/>
    <w:pPr>
      <w:spacing w:after="240" w:line="276" w:lineRule="auto"/>
      <w:ind w:left="567"/>
      <w:jc w:val="both"/>
      <w:outlineLvl w:val="0"/>
    </w:pPr>
    <w:rPr>
      <w:rFonts w:ascii="Century Gothic" w:eastAsia="Times New Roman" w:hAnsi="Century Gothic" w:cs="Times New Roman"/>
      <w:bCs/>
      <w:i/>
      <w:szCs w:val="20"/>
      <w:lang w:eastAsia="en-GB"/>
    </w:rPr>
  </w:style>
  <w:style w:type="character" w:customStyle="1" w:styleId="QuotationChar">
    <w:name w:val="Quotation Char"/>
    <w:basedOn w:val="DefaultParagraphFont"/>
    <w:link w:val="Quotation"/>
    <w:rsid w:val="004A031D"/>
    <w:rPr>
      <w:rFonts w:ascii="Century Gothic" w:eastAsia="Times New Roman" w:hAnsi="Century Gothic" w:cs="Times New Roman"/>
      <w:bCs/>
      <w:i/>
      <w:szCs w:val="20"/>
      <w:lang w:eastAsia="en-GB"/>
    </w:rPr>
  </w:style>
  <w:style w:type="paragraph" w:customStyle="1" w:styleId="Bodyparagraphtext">
    <w:name w:val="Body paragraph text"/>
    <w:basedOn w:val="Normal"/>
    <w:link w:val="BodyparagraphtextChar"/>
    <w:qFormat/>
    <w:rsid w:val="004A031D"/>
    <w:pPr>
      <w:spacing w:after="240" w:line="276" w:lineRule="auto"/>
      <w:ind w:left="567" w:hanging="283"/>
      <w:jc w:val="both"/>
      <w:outlineLvl w:val="0"/>
    </w:pPr>
    <w:rPr>
      <w:rFonts w:ascii="Century Gothic" w:eastAsia="Times New Roman" w:hAnsi="Century Gothic" w:cs="Times New Roman"/>
      <w:bCs/>
      <w:szCs w:val="20"/>
      <w:lang w:eastAsia="en-GB"/>
    </w:rPr>
  </w:style>
  <w:style w:type="character" w:customStyle="1" w:styleId="BodyparagraphtextChar">
    <w:name w:val="Body paragraph text Char"/>
    <w:basedOn w:val="DefaultParagraphFont"/>
    <w:link w:val="Bodyparagraphtext"/>
    <w:rsid w:val="004A031D"/>
    <w:rPr>
      <w:rFonts w:ascii="Century Gothic" w:eastAsia="Times New Roman" w:hAnsi="Century Gothic" w:cs="Times New Roman"/>
      <w:bCs/>
      <w:szCs w:val="20"/>
      <w:lang w:eastAsia="en-GB"/>
    </w:rPr>
  </w:style>
  <w:style w:type="paragraph" w:customStyle="1" w:styleId="CSABulletpointswithspacing">
    <w:name w:val="CSA Bullet points with spacing"/>
    <w:basedOn w:val="ListParagraph"/>
    <w:autoRedefine/>
    <w:qFormat/>
    <w:rsid w:val="004A031D"/>
    <w:pPr>
      <w:widowControl w:val="0"/>
      <w:numPr>
        <w:numId w:val="4"/>
      </w:numPr>
      <w:tabs>
        <w:tab w:val="left" w:pos="1134"/>
        <w:tab w:val="left" w:pos="4865"/>
      </w:tabs>
      <w:spacing w:after="240" w:line="276" w:lineRule="auto"/>
      <w:contextualSpacing w:val="0"/>
      <w:jc w:val="both"/>
    </w:pPr>
    <w:rPr>
      <w:rFonts w:ascii="Century Gothic" w:eastAsia="Times New Roman" w:hAnsi="Century Gothic" w:cs="Times New Roman"/>
      <w:lang w:eastAsia="en-GB"/>
    </w:rPr>
  </w:style>
  <w:style w:type="paragraph" w:customStyle="1" w:styleId="Bullet3">
    <w:name w:val="Bullet3"/>
    <w:basedOn w:val="CSABulletpointswithspacing"/>
    <w:link w:val="Bullet3Char"/>
    <w:qFormat/>
    <w:rsid w:val="004A031D"/>
    <w:pPr>
      <w:spacing w:after="120"/>
      <w:ind w:hanging="357"/>
    </w:pPr>
  </w:style>
  <w:style w:type="character" w:customStyle="1" w:styleId="Bullet3Char">
    <w:name w:val="Bullet3 Char"/>
    <w:basedOn w:val="DefaultParagraphFont"/>
    <w:link w:val="Bullet3"/>
    <w:rsid w:val="004A031D"/>
    <w:rPr>
      <w:rFonts w:ascii="Century Gothic" w:eastAsia="Times New Roman" w:hAnsi="Century Gothic" w:cs="Times New Roman"/>
      <w:lang w:eastAsia="en-GB"/>
    </w:rPr>
  </w:style>
  <w:style w:type="paragraph" w:styleId="Revision">
    <w:name w:val="Revision"/>
    <w:hidden/>
    <w:uiPriority w:val="99"/>
    <w:semiHidden/>
    <w:rsid w:val="00473F0A"/>
    <w:pPr>
      <w:spacing w:after="0" w:line="240" w:lineRule="auto"/>
    </w:pPr>
  </w:style>
  <w:style w:type="character" w:customStyle="1" w:styleId="CSaBodyParagraphTextChar">
    <w:name w:val="CSa Body Paragraph Text Char"/>
    <w:basedOn w:val="DefaultParagraphFont"/>
    <w:link w:val="CSaBodyParagraphText"/>
    <w:qFormat/>
    <w:locked/>
    <w:rsid w:val="009D67A1"/>
    <w:rPr>
      <w:rFonts w:ascii="Century Gothic" w:hAnsi="Century Gothic"/>
      <w:bCs/>
    </w:rPr>
  </w:style>
  <w:style w:type="paragraph" w:customStyle="1" w:styleId="CSaBodyParagraphText">
    <w:name w:val="CSa Body Paragraph Text"/>
    <w:basedOn w:val="Heading1"/>
    <w:link w:val="CSaBodyParagraphTextChar"/>
    <w:qFormat/>
    <w:rsid w:val="009D67A1"/>
    <w:pPr>
      <w:widowControl/>
      <w:numPr>
        <w:numId w:val="0"/>
      </w:numPr>
      <w:tabs>
        <w:tab w:val="left" w:pos="720"/>
      </w:tabs>
      <w:spacing w:after="240" w:line="276" w:lineRule="auto"/>
      <w:ind w:left="709" w:hanging="425"/>
    </w:pPr>
    <w:rPr>
      <w:rFonts w:ascii="Century Gothic" w:eastAsiaTheme="minorHAnsi" w:hAnsi="Century Gothic" w:cstheme="minorBidi"/>
      <w:bCs/>
      <w:sz w:val="22"/>
      <w:szCs w:val="22"/>
    </w:rPr>
  </w:style>
  <w:style w:type="paragraph" w:styleId="DocumentMap">
    <w:name w:val="Document Map"/>
    <w:basedOn w:val="Normal"/>
    <w:link w:val="DocumentMapChar"/>
    <w:rsid w:val="00942FA2"/>
    <w:pPr>
      <w:spacing w:after="0" w:line="240" w:lineRule="auto"/>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rsid w:val="00942FA2"/>
    <w:rPr>
      <w:rFonts w:ascii="Tahoma" w:eastAsia="Times New Roman" w:hAnsi="Tahoma" w:cs="Tahoma"/>
      <w:sz w:val="16"/>
      <w:szCs w:val="16"/>
      <w:lang w:eastAsia="en-GB"/>
    </w:rPr>
  </w:style>
  <w:style w:type="paragraph" w:customStyle="1" w:styleId="Default">
    <w:name w:val="Default"/>
    <w:rsid w:val="00F07C0C"/>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paragraph" w:customStyle="1" w:styleId="Normalnumbered">
    <w:name w:val="Normal numbered"/>
    <w:basedOn w:val="Normal"/>
    <w:qFormat/>
    <w:rsid w:val="000912C0"/>
    <w:pPr>
      <w:numPr>
        <w:ilvl w:val="1"/>
        <w:numId w:val="18"/>
      </w:numPr>
      <w:spacing w:line="360" w:lineRule="auto"/>
    </w:pPr>
    <w:rPr>
      <w:rFonts w:ascii="Gadugi" w:hAnsi="Gadugi"/>
      <w:sz w:val="20"/>
    </w:rPr>
  </w:style>
  <w:style w:type="paragraph" w:customStyle="1" w:styleId="Heading1Numb">
    <w:name w:val="Heading 1 Numb"/>
    <w:basedOn w:val="Heading1"/>
    <w:next w:val="Normal"/>
    <w:uiPriority w:val="2"/>
    <w:qFormat/>
    <w:rsid w:val="000912C0"/>
    <w:pPr>
      <w:keepNext/>
      <w:keepLines/>
      <w:pageBreakBefore/>
      <w:widowControl/>
      <w:numPr>
        <w:numId w:val="18"/>
      </w:numPr>
      <w:tabs>
        <w:tab w:val="num" w:pos="360"/>
        <w:tab w:val="left" w:pos="567"/>
      </w:tabs>
      <w:spacing w:after="360" w:line="256" w:lineRule="auto"/>
      <w:ind w:left="0" w:firstLine="0"/>
      <w:jc w:val="left"/>
    </w:pPr>
    <w:rPr>
      <w:rFonts w:ascii="Gadugi" w:eastAsiaTheme="majorEastAsia" w:hAnsi="Gadugi" w:cstheme="majorBidi"/>
      <w:b/>
      <w:color w:val="44546A" w:themeColor="text2"/>
      <w:sz w:val="36"/>
    </w:rPr>
  </w:style>
  <w:style w:type="numbering" w:customStyle="1" w:styleId="NumbListmain">
    <w:name w:val="NumbList main"/>
    <w:uiPriority w:val="99"/>
    <w:rsid w:val="000912C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23410">
      <w:bodyDiv w:val="1"/>
      <w:marLeft w:val="0"/>
      <w:marRight w:val="0"/>
      <w:marTop w:val="0"/>
      <w:marBottom w:val="0"/>
      <w:divBdr>
        <w:top w:val="none" w:sz="0" w:space="0" w:color="auto"/>
        <w:left w:val="none" w:sz="0" w:space="0" w:color="auto"/>
        <w:bottom w:val="none" w:sz="0" w:space="0" w:color="auto"/>
        <w:right w:val="none" w:sz="0" w:space="0" w:color="auto"/>
      </w:divBdr>
    </w:div>
    <w:div w:id="1016812073">
      <w:bodyDiv w:val="1"/>
      <w:marLeft w:val="0"/>
      <w:marRight w:val="0"/>
      <w:marTop w:val="0"/>
      <w:marBottom w:val="0"/>
      <w:divBdr>
        <w:top w:val="none" w:sz="0" w:space="0" w:color="auto"/>
        <w:left w:val="none" w:sz="0" w:space="0" w:color="auto"/>
        <w:bottom w:val="none" w:sz="0" w:space="0" w:color="auto"/>
        <w:right w:val="none" w:sz="0" w:space="0" w:color="auto"/>
      </w:divBdr>
    </w:div>
    <w:div w:id="1214776083">
      <w:bodyDiv w:val="1"/>
      <w:marLeft w:val="0"/>
      <w:marRight w:val="0"/>
      <w:marTop w:val="0"/>
      <w:marBottom w:val="0"/>
      <w:divBdr>
        <w:top w:val="none" w:sz="0" w:space="0" w:color="auto"/>
        <w:left w:val="none" w:sz="0" w:space="0" w:color="auto"/>
        <w:bottom w:val="none" w:sz="0" w:space="0" w:color="auto"/>
        <w:right w:val="none" w:sz="0" w:space="0" w:color="auto"/>
      </w:divBdr>
    </w:div>
    <w:div w:id="1243224946">
      <w:bodyDiv w:val="1"/>
      <w:marLeft w:val="0"/>
      <w:marRight w:val="0"/>
      <w:marTop w:val="0"/>
      <w:marBottom w:val="0"/>
      <w:divBdr>
        <w:top w:val="none" w:sz="0" w:space="0" w:color="auto"/>
        <w:left w:val="none" w:sz="0" w:space="0" w:color="auto"/>
        <w:bottom w:val="none" w:sz="0" w:space="0" w:color="auto"/>
        <w:right w:val="none" w:sz="0" w:space="0" w:color="auto"/>
      </w:divBdr>
    </w:div>
    <w:div w:id="1453209099">
      <w:bodyDiv w:val="1"/>
      <w:marLeft w:val="0"/>
      <w:marRight w:val="0"/>
      <w:marTop w:val="0"/>
      <w:marBottom w:val="0"/>
      <w:divBdr>
        <w:top w:val="none" w:sz="0" w:space="0" w:color="auto"/>
        <w:left w:val="none" w:sz="0" w:space="0" w:color="auto"/>
        <w:bottom w:val="none" w:sz="0" w:space="0" w:color="auto"/>
        <w:right w:val="none" w:sz="0" w:space="0" w:color="auto"/>
      </w:divBdr>
    </w:div>
    <w:div w:id="18072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7586ad-cab0-42a0-a444-90b2bd7d91f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E3BFAA2954B634684698A00B5697999" ma:contentTypeVersion="15" ma:contentTypeDescription="Create a new document." ma:contentTypeScope="" ma:versionID="e160cb0bae2805774a8660de993afb00">
  <xsd:schema xmlns:xsd="http://www.w3.org/2001/XMLSchema" xmlns:xs="http://www.w3.org/2001/XMLSchema" xmlns:p="http://schemas.microsoft.com/office/2006/metadata/properties" xmlns:ns3="6e7586ad-cab0-42a0-a444-90b2bd7d91fe" xmlns:ns4="66b2c2b8-e3f9-429f-90d5-2bdbfb6a3bab" targetNamespace="http://schemas.microsoft.com/office/2006/metadata/properties" ma:root="true" ma:fieldsID="cefda79cf014ddada1c795085e237367" ns3:_="" ns4:_="">
    <xsd:import namespace="6e7586ad-cab0-42a0-a444-90b2bd7d91fe"/>
    <xsd:import namespace="66b2c2b8-e3f9-429f-90d5-2bdbfb6a3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586ad-cab0-42a0-a444-90b2bd7d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2c2b8-e3f9-429f-90d5-2bdbfb6a3b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EFD9F-8BF9-4EF4-B486-0AD48B648D38}">
  <ds:schemaRefs>
    <ds:schemaRef ds:uri="http://schemas.microsoft.com/office/2006/metadata/properties"/>
    <ds:schemaRef ds:uri="http://schemas.microsoft.com/office/infopath/2007/PartnerControls"/>
    <ds:schemaRef ds:uri="6e7586ad-cab0-42a0-a444-90b2bd7d91fe"/>
  </ds:schemaRefs>
</ds:datastoreItem>
</file>

<file path=customXml/itemProps2.xml><?xml version="1.0" encoding="utf-8"?>
<ds:datastoreItem xmlns:ds="http://schemas.openxmlformats.org/officeDocument/2006/customXml" ds:itemID="{8550534C-0D2F-4864-A1E4-FBB3731C38AF}">
  <ds:schemaRefs>
    <ds:schemaRef ds:uri="http://schemas.openxmlformats.org/officeDocument/2006/bibliography"/>
  </ds:schemaRefs>
</ds:datastoreItem>
</file>

<file path=customXml/itemProps3.xml><?xml version="1.0" encoding="utf-8"?>
<ds:datastoreItem xmlns:ds="http://schemas.openxmlformats.org/officeDocument/2006/customXml" ds:itemID="{17C22063-76D2-4DFE-9B6D-71841B769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586ad-cab0-42a0-a444-90b2bd7d91fe"/>
    <ds:schemaRef ds:uri="66b2c2b8-e3f9-429f-90d5-2bdbfb6a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485F6-B38B-4437-AD13-1DEBFD54F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1308</Words>
  <Characters>7458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Gruner</dc:creator>
  <cp:lastModifiedBy>Linda Batham</cp:lastModifiedBy>
  <cp:revision>2</cp:revision>
  <cp:lastPrinted>2023-03-04T12:34:00Z</cp:lastPrinted>
  <dcterms:created xsi:type="dcterms:W3CDTF">2023-08-24T16:19:00Z</dcterms:created>
  <dcterms:modified xsi:type="dcterms:W3CDTF">2023-08-24T16:19:00Z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0x010100AE3BFAA2954B634684698A00B5697999</vt:lpwstr>
  </property>
</Properties>
</file>